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FEB65" w14:textId="77777777" w:rsidR="00E2152B" w:rsidRDefault="00E2152B" w:rsidP="00E2152B">
      <w:pPr>
        <w:jc w:val="center"/>
      </w:pPr>
      <w:r>
        <w:rPr>
          <w:b/>
          <w:sz w:val="32"/>
        </w:rPr>
        <w:t>MEMORANDUM UZGODNIEŃ / LIST INTENCYJNY Z KLAUZULAMI WIĄŻĄCYMI (PL)</w:t>
      </w:r>
    </w:p>
    <w:p w14:paraId="51965011" w14:textId="77777777" w:rsidR="00E2152B" w:rsidRDefault="00E2152B" w:rsidP="00E2152B">
      <w:pPr>
        <w:jc w:val="center"/>
      </w:pPr>
      <w:r>
        <w:rPr>
          <w:i/>
        </w:rPr>
        <w:t>dot. utworzenia konsorcjum dla dostaw biomasy dla energetyki zawodowej</w:t>
      </w:r>
    </w:p>
    <w:p w14:paraId="0E8A75DE" w14:textId="77777777" w:rsidR="00E2152B" w:rsidRDefault="00E2152B" w:rsidP="00E2152B">
      <w:pPr>
        <w:jc w:val="center"/>
      </w:pPr>
      <w:r>
        <w:rPr>
          <w:i/>
        </w:rPr>
        <w:t>pomiędzy Węglokoks S.A. a Carmex Expert Sp. z o.o.</w:t>
      </w:r>
    </w:p>
    <w:p w14:paraId="70D88962" w14:textId="77777777" w:rsidR="00E2152B" w:rsidRDefault="00E2152B" w:rsidP="00E2152B"/>
    <w:p w14:paraId="3E1B563C" w14:textId="77777777" w:rsidR="00E2152B" w:rsidRDefault="00E2152B" w:rsidP="00E2152B">
      <w:r>
        <w:t>zawarte w dniu [●] 2026 r. w Katowicach, pomiędzy:</w:t>
      </w:r>
    </w:p>
    <w:p w14:paraId="39C80959" w14:textId="77777777" w:rsidR="00E2152B" w:rsidRDefault="00E2152B" w:rsidP="00E2152B">
      <w:r>
        <w:rPr>
          <w:b/>
          <w:sz w:val="24"/>
        </w:rPr>
        <w:t>1) Węglokoks S.A. (Polska)</w:t>
      </w:r>
    </w:p>
    <w:p w14:paraId="4A1B7519" w14:textId="77777777" w:rsidR="00E2152B" w:rsidRDefault="00E2152B" w:rsidP="00E2152B">
      <w:r>
        <w:t>Węglokoks S.A. z siedzibą w Katowicach przy ul. Mickiewicza 29, 40-085 Katowice, wpisaną do rejestru przedsiębiorców Krajowego Rejestru Sądowego pod nr KRS 0000095342, posiadającą NIP 634 00 17 095, REGON 271883564, BDO 000536676, e-mail: info@weglokoks.com.pl, tel. +48 32 207 22 27, fax: +48 32 251 54 53, dalej zwaną „WGK” albo „Liderem Finansującym”, reprezentowaną przez: [●].</w:t>
      </w:r>
    </w:p>
    <w:p w14:paraId="1A680ACA" w14:textId="77777777" w:rsidR="00E2152B" w:rsidRDefault="00E2152B" w:rsidP="00E2152B"/>
    <w:p w14:paraId="24729E88" w14:textId="77777777" w:rsidR="00E2152B" w:rsidRDefault="00E2152B" w:rsidP="00E2152B">
      <w:r>
        <w:rPr>
          <w:b/>
          <w:sz w:val="24"/>
        </w:rPr>
        <w:t>2) Carmex Expert Sp. z o.o. (Polska)</w:t>
      </w:r>
    </w:p>
    <w:p w14:paraId="5C389541" w14:textId="77777777" w:rsidR="00E2152B" w:rsidRDefault="00E2152B" w:rsidP="00E2152B">
      <w:r>
        <w:t>Carmex Expert Sp. z o.o. z siedzibą w Katowicach przy ul. 3 Maja 10/2, 40-096 Katowice, o kapitale zakładowym 200.000,00 zł, wpisaną do rejestru przedsiębiorców Krajowego Rejestru Sądowego pod nr KRS 0000837769, posiadającą NIP 954-281-38-85 oraz REGON 385917906, dalej zwaną „CE” albo „Partnerem Handlowo</w:t>
      </w:r>
      <w:r>
        <w:rPr>
          <w:rFonts w:ascii="Cambria Math" w:hAnsi="Cambria Math" w:cs="Cambria Math"/>
        </w:rPr>
        <w:t>‑</w:t>
      </w:r>
      <w:r>
        <w:t>Operacyjnym</w:t>
      </w:r>
      <w:r>
        <w:rPr>
          <w:rFonts w:cs="Calibri"/>
        </w:rPr>
        <w:t>”</w:t>
      </w:r>
      <w:r>
        <w:t>, reprezentowan</w:t>
      </w:r>
      <w:r>
        <w:rPr>
          <w:rFonts w:cs="Calibri"/>
        </w:rPr>
        <w:t>ą</w:t>
      </w:r>
      <w:r>
        <w:t xml:space="preserve"> przez: Marcin Wieche</w:t>
      </w:r>
      <w:r>
        <w:rPr>
          <w:rFonts w:cs="Calibri"/>
        </w:rPr>
        <w:t>ć</w:t>
      </w:r>
      <w:r>
        <w:t xml:space="preserve"> </w:t>
      </w:r>
      <w:r>
        <w:rPr>
          <w:rFonts w:cs="Calibri"/>
        </w:rPr>
        <w:t>–</w:t>
      </w:r>
      <w:r>
        <w:t xml:space="preserve"> Prezes Zarz</w:t>
      </w:r>
      <w:r>
        <w:rPr>
          <w:rFonts w:cs="Calibri"/>
        </w:rPr>
        <w:t>ą</w:t>
      </w:r>
      <w:r>
        <w:t>du.</w:t>
      </w:r>
    </w:p>
    <w:p w14:paraId="01C2D441" w14:textId="77777777" w:rsidR="00E2152B" w:rsidRDefault="00E2152B" w:rsidP="00E2152B"/>
    <w:p w14:paraId="2A557BD6" w14:textId="14FC4206" w:rsidR="00E2152B" w:rsidRDefault="00E2152B" w:rsidP="00E2152B">
      <w:r>
        <w:t>WGK i CE dalej łącznie zwane są „Stronami”, a każda z osobna „Stroną”.</w:t>
      </w:r>
      <w:r>
        <w:br/>
      </w:r>
    </w:p>
    <w:p w14:paraId="2C7C7964" w14:textId="6A0EF4C2" w:rsidR="00E2152B" w:rsidRDefault="00E2152B" w:rsidP="00E2152B">
      <w:pPr>
        <w:jc w:val="center"/>
      </w:pPr>
      <w:r>
        <w:rPr>
          <w:b/>
          <w:sz w:val="26"/>
        </w:rPr>
        <w:t>§1.</w:t>
      </w:r>
      <w:r>
        <w:rPr>
          <w:b/>
          <w:sz w:val="26"/>
        </w:rPr>
        <w:br/>
      </w:r>
      <w:r>
        <w:rPr>
          <w:b/>
          <w:sz w:val="26"/>
        </w:rPr>
        <w:t>Cel i założenia projektu</w:t>
      </w:r>
    </w:p>
    <w:p w14:paraId="3E49C818" w14:textId="77777777" w:rsidR="00E2152B" w:rsidRDefault="00E2152B" w:rsidP="00E2152B">
      <w:r>
        <w:t>1. Strony potwierdzają zamiar utworzenia wspólnej organizacji gospodarczej w formie konsorcjum (dalej: „Konsorcjum”) w celu zapewnienia bezpieczeństwa i ciągłości dostaw biomasy do zakładów energetyki zawodowej w Polsce oraz – w zakresie uzgodnionym przez Strony – na wybranych rynkach Europy (dalej: „Rynek Docelowy”).</w:t>
      </w:r>
    </w:p>
    <w:p w14:paraId="2F8E2799" w14:textId="77777777" w:rsidR="00E2152B" w:rsidRDefault="00E2152B" w:rsidP="00E2152B">
      <w:r>
        <w:t>2. Konsorcjum ma obejmować w szczególności pełny łańcuch wartości: akwizycję i kontraktację z producentami, compliance i zgodność regulacyjną (w tym RED III oraz kalkulacje GHG), kontraktację z odbiorcami, finansowanie, kontrolę jakości, ubezpieczenia, zarządzanie ryzykiem kursowym, fracht morski, usługi portowe (w tym magazynowe), logistykę kolejową i samochodową oraz raportowanie.</w:t>
      </w:r>
    </w:p>
    <w:p w14:paraId="7B91DB1D" w14:textId="5AD0B375" w:rsidR="00E2152B" w:rsidRDefault="00E2152B" w:rsidP="00E2152B">
      <w:r>
        <w:lastRenderedPageBreak/>
        <w:t>3. Niniejszy dokument: (i) utrwala kluczowe uzgodnienia Stron, (ii) ustanawia wiążące zasady poufności, ochrony relacji, compliance, zasad płatności i wydania towaru, prawa właściwego i arbitrażu, oraz (iii) zawiera Term Sheet i draft Umowy Konsorcjum (Załączniki).</w:t>
      </w:r>
      <w:r>
        <w:br/>
      </w:r>
    </w:p>
    <w:p w14:paraId="258FF321" w14:textId="6690A831" w:rsidR="00E2152B" w:rsidRDefault="00E2152B" w:rsidP="00E2152B">
      <w:pPr>
        <w:jc w:val="center"/>
      </w:pPr>
      <w:r>
        <w:rPr>
          <w:b/>
          <w:sz w:val="26"/>
        </w:rPr>
        <w:t>§2.</w:t>
      </w:r>
      <w:r>
        <w:rPr>
          <w:b/>
          <w:sz w:val="26"/>
        </w:rPr>
        <w:br/>
      </w:r>
      <w:r>
        <w:rPr>
          <w:b/>
          <w:sz w:val="26"/>
        </w:rPr>
        <w:t>Definicje</w:t>
      </w:r>
    </w:p>
    <w:p w14:paraId="1E6EFBC0" w14:textId="77777777" w:rsidR="00E2152B" w:rsidRDefault="00E2152B" w:rsidP="00E2152B">
      <w:r>
        <w:t>Na potrzeby niniejszego dokumentu poniższe pojęcia mają następujące znaczenie:</w:t>
      </w:r>
    </w:p>
    <w:p w14:paraId="22BCC886" w14:textId="77777777" w:rsidR="00E2152B" w:rsidRDefault="00E2152B" w:rsidP="00E2152B">
      <w:pPr>
        <w:pStyle w:val="Listapunktowana"/>
        <w:tabs>
          <w:tab w:val="num" w:pos="360"/>
        </w:tabs>
        <w:spacing w:after="200"/>
      </w:pPr>
      <w:r>
        <w:t>„Biomasa” – surowce/produkty biomasowe przeznaczone dla energetyki zawodowej, spełniające wymagania jakościowe, zrównoważonego rozwoju oraz wymogi prawne dotyczące ich wykorzystania w energetyce; w tym w szczególności rodzaje wymienione w §3.</w:t>
      </w:r>
    </w:p>
    <w:p w14:paraId="3F657301" w14:textId="77777777" w:rsidR="00E2152B" w:rsidRDefault="00E2152B" w:rsidP="00E2152B">
      <w:pPr>
        <w:pStyle w:val="Listapunktowana"/>
        <w:tabs>
          <w:tab w:val="num" w:pos="360"/>
        </w:tabs>
        <w:spacing w:after="200"/>
      </w:pPr>
      <w:r>
        <w:t>„Odbiorca Końcowy” – podmiot z sektora energetyki zawodowej lub podmiot pośredniczący uprawniony do nabycia Biomasy na potrzeby wytwarzania energii/ciepła.</w:t>
      </w:r>
    </w:p>
    <w:p w14:paraId="31F9BB4A" w14:textId="77777777" w:rsidR="00E2152B" w:rsidRDefault="00E2152B" w:rsidP="00E2152B">
      <w:pPr>
        <w:pStyle w:val="Listapunktowana"/>
        <w:tabs>
          <w:tab w:val="num" w:pos="360"/>
        </w:tabs>
        <w:spacing w:after="200"/>
      </w:pPr>
      <w:r>
        <w:t>„RED III” – Dyrektywa (UE) 2023/2413 oraz akty wykonawcze/delegowane i krajowe regulacje wdrażające w zakresie kryteriów zrównoważonego rozwoju i ograniczania emisji GHG.</w:t>
      </w:r>
    </w:p>
    <w:p w14:paraId="5492DC20" w14:textId="77777777" w:rsidR="00E2152B" w:rsidRDefault="00E2152B" w:rsidP="00E2152B">
      <w:pPr>
        <w:pStyle w:val="Listapunktowana"/>
        <w:tabs>
          <w:tab w:val="num" w:pos="360"/>
        </w:tabs>
        <w:spacing w:after="200"/>
      </w:pPr>
      <w:r>
        <w:t>„GHG Calculator” – metodologia/kalkulator obliczania intensywności emisji gazów cieplarnianych w łańcuchu dostaw Biomasy zgodnie z RED III.</w:t>
      </w:r>
    </w:p>
    <w:p w14:paraId="21139417" w14:textId="77777777" w:rsidR="00E2152B" w:rsidRDefault="00E2152B" w:rsidP="00E2152B">
      <w:pPr>
        <w:pStyle w:val="Listapunktowana"/>
        <w:tabs>
          <w:tab w:val="num" w:pos="360"/>
        </w:tabs>
        <w:spacing w:after="200"/>
      </w:pPr>
      <w:r>
        <w:t>„Hub Biomasowy” – infrastruktura przeładunkowo</w:t>
      </w:r>
      <w:r>
        <w:rPr>
          <w:rFonts w:ascii="Cambria Math" w:hAnsi="Cambria Math" w:cs="Cambria Math"/>
        </w:rPr>
        <w:t>‑</w:t>
      </w:r>
      <w:r>
        <w:t>magazynowa Biomasy w Porcie Gda</w:t>
      </w:r>
      <w:r>
        <w:rPr>
          <w:rFonts w:cs="Calibri"/>
        </w:rPr>
        <w:t>ń</w:t>
      </w:r>
      <w:r>
        <w:t>sk (lub jego zapleczu), z wydzielon</w:t>
      </w:r>
      <w:r>
        <w:rPr>
          <w:rFonts w:cs="Calibri"/>
        </w:rPr>
        <w:t>ą</w:t>
      </w:r>
      <w:r>
        <w:t xml:space="preserve"> powierzchni</w:t>
      </w:r>
      <w:r>
        <w:rPr>
          <w:rFonts w:cs="Calibri"/>
        </w:rPr>
        <w:t>ą</w:t>
      </w:r>
      <w:r>
        <w:t xml:space="preserve"> magazynow</w:t>
      </w:r>
      <w:r>
        <w:rPr>
          <w:rFonts w:cs="Calibri"/>
        </w:rPr>
        <w:t>ą</w:t>
      </w:r>
      <w:r>
        <w:t xml:space="preserve"> i operacjami konfekcjonowania.</w:t>
      </w:r>
    </w:p>
    <w:p w14:paraId="0724EF61" w14:textId="77777777" w:rsidR="00E2152B" w:rsidRDefault="00E2152B" w:rsidP="00E2152B">
      <w:pPr>
        <w:pStyle w:val="Listapunktowana"/>
        <w:tabs>
          <w:tab w:val="num" w:pos="360"/>
        </w:tabs>
        <w:spacing w:after="200"/>
      </w:pPr>
      <w:r>
        <w:t>„Zapas Portowy” – wydzielony zapas Biomasy utrzymywany w Hubie Biomasowym przeznaczony do realizacji dostaw do Odbiorców Końcowych.</w:t>
      </w:r>
    </w:p>
    <w:p w14:paraId="2F00187B" w14:textId="77777777" w:rsidR="00E2152B" w:rsidRDefault="00E2152B" w:rsidP="00E2152B">
      <w:pPr>
        <w:pStyle w:val="Listapunktowana"/>
        <w:tabs>
          <w:tab w:val="num" w:pos="360"/>
        </w:tabs>
        <w:spacing w:after="200"/>
      </w:pPr>
      <w:r>
        <w:t>„Release Order / Dyspozycja Wydania” – pisemna dyspozycja wydania określonej ilości Biomasy z Zapasu Portowego na rzecz Odbiorcy Końcowego lub na potrzeby dalszej dystrybucji.</w:t>
      </w:r>
    </w:p>
    <w:p w14:paraId="31B80206" w14:textId="77777777" w:rsidR="00E2152B" w:rsidRDefault="00E2152B" w:rsidP="00E2152B">
      <w:pPr>
        <w:pStyle w:val="Listapunktowana"/>
        <w:tabs>
          <w:tab w:val="num" w:pos="360"/>
        </w:tabs>
        <w:spacing w:after="200"/>
      </w:pPr>
      <w:r>
        <w:t>„Zasada Pay</w:t>
      </w:r>
      <w:r>
        <w:rPr>
          <w:rFonts w:ascii="Cambria Math" w:hAnsi="Cambria Math" w:cs="Cambria Math"/>
        </w:rPr>
        <w:t>‑</w:t>
      </w:r>
      <w:r>
        <w:t>Before</w:t>
      </w:r>
      <w:r>
        <w:rPr>
          <w:rFonts w:ascii="Cambria Math" w:hAnsi="Cambria Math" w:cs="Cambria Math"/>
        </w:rPr>
        <w:t>‑</w:t>
      </w:r>
      <w:r>
        <w:t>Release</w:t>
      </w:r>
      <w:r>
        <w:rPr>
          <w:rFonts w:cs="Calibri"/>
        </w:rPr>
        <w:t>”</w:t>
      </w:r>
      <w:r>
        <w:t xml:space="preserve"> </w:t>
      </w:r>
      <w:r>
        <w:rPr>
          <w:rFonts w:cs="Calibri"/>
        </w:rPr>
        <w:t>–</w:t>
      </w:r>
      <w:r>
        <w:t xml:space="preserve"> bezwzgl</w:t>
      </w:r>
      <w:r>
        <w:rPr>
          <w:rFonts w:cs="Calibri"/>
        </w:rPr>
        <w:t>ę</w:t>
      </w:r>
      <w:r>
        <w:t>dna zasada, zgodnie z kt</w:t>
      </w:r>
      <w:r>
        <w:rPr>
          <w:rFonts w:cs="Calibri"/>
        </w:rPr>
        <w:t>ó</w:t>
      </w:r>
      <w:r>
        <w:t>r</w:t>
      </w:r>
      <w:r>
        <w:rPr>
          <w:rFonts w:cs="Calibri"/>
        </w:rPr>
        <w:t>ą</w:t>
      </w:r>
      <w:r>
        <w:t xml:space="preserve"> bez uprzedniej zap</w:t>
      </w:r>
      <w:r>
        <w:rPr>
          <w:rFonts w:cs="Calibri"/>
        </w:rPr>
        <w:t>ł</w:t>
      </w:r>
      <w:r>
        <w:t>aty (lub zabezpieczenia r</w:t>
      </w:r>
      <w:r>
        <w:rPr>
          <w:rFonts w:cs="Calibri"/>
        </w:rPr>
        <w:t>ó</w:t>
      </w:r>
      <w:r>
        <w:t>wnowa</w:t>
      </w:r>
      <w:r>
        <w:rPr>
          <w:rFonts w:cs="Calibri"/>
        </w:rPr>
        <w:t>ż</w:t>
      </w:r>
      <w:r>
        <w:t>nego uzgodnionego na pi</w:t>
      </w:r>
      <w:r>
        <w:rPr>
          <w:rFonts w:cs="Calibri"/>
        </w:rPr>
        <w:t>ś</w:t>
      </w:r>
      <w:r>
        <w:t>mie) Biomasa nie mo</w:t>
      </w:r>
      <w:r>
        <w:rPr>
          <w:rFonts w:cs="Calibri"/>
        </w:rPr>
        <w:t>ż</w:t>
      </w:r>
      <w:r>
        <w:t>e zosta</w:t>
      </w:r>
      <w:r>
        <w:rPr>
          <w:rFonts w:cs="Calibri"/>
        </w:rPr>
        <w:t>ć</w:t>
      </w:r>
      <w:r>
        <w:t xml:space="preserve"> wydana i nie mo</w:t>
      </w:r>
      <w:r>
        <w:rPr>
          <w:rFonts w:cs="Calibri"/>
        </w:rPr>
        <w:t>ż</w:t>
      </w:r>
      <w:r>
        <w:t>e opu</w:t>
      </w:r>
      <w:r>
        <w:rPr>
          <w:rFonts w:cs="Calibri"/>
        </w:rPr>
        <w:t>ś</w:t>
      </w:r>
      <w:r>
        <w:t>ci</w:t>
      </w:r>
      <w:r>
        <w:rPr>
          <w:rFonts w:cs="Calibri"/>
        </w:rPr>
        <w:t>ć</w:t>
      </w:r>
      <w:r>
        <w:t xml:space="preserve"> Hubu Biomasowego/portu.</w:t>
      </w:r>
    </w:p>
    <w:p w14:paraId="7B3263C3" w14:textId="77777777" w:rsidR="00E2152B" w:rsidRDefault="00E2152B" w:rsidP="00E2152B">
      <w:pPr>
        <w:pStyle w:val="Listapunktowana"/>
        <w:tabs>
          <w:tab w:val="num" w:pos="360"/>
        </w:tabs>
        <w:spacing w:after="200"/>
      </w:pPr>
      <w:r>
        <w:t>„Marża Konsorcjum” – różnica pomiędzy ceną sprzedaży Biomasy a łącznym kosztem pozyskania i dostarczenia Biomasy do miejsca wydania, po uwzględnieniu uzgodnionych kosztów Konsorcjum; szczegółowo opisana w Term Sheet.</w:t>
      </w:r>
    </w:p>
    <w:p w14:paraId="572A29E6" w14:textId="77777777" w:rsidR="00E2152B" w:rsidRDefault="00E2152B" w:rsidP="00E2152B">
      <w:pPr>
        <w:pStyle w:val="Listapunktowana"/>
        <w:tabs>
          <w:tab w:val="num" w:pos="360"/>
        </w:tabs>
        <w:spacing w:after="200"/>
      </w:pPr>
      <w:r>
        <w:t>„Komitet Sterujący” – organ zarządczo</w:t>
      </w:r>
      <w:r>
        <w:rPr>
          <w:rFonts w:ascii="Cambria Math" w:hAnsi="Cambria Math" w:cs="Cambria Math"/>
        </w:rPr>
        <w:t>‑</w:t>
      </w:r>
      <w:r>
        <w:t>nadzorczy Konsorcjum z</w:t>
      </w:r>
      <w:r>
        <w:rPr>
          <w:rFonts w:cs="Calibri"/>
        </w:rPr>
        <w:t>ł</w:t>
      </w:r>
      <w:r>
        <w:t>o</w:t>
      </w:r>
      <w:r>
        <w:rPr>
          <w:rFonts w:cs="Calibri"/>
        </w:rPr>
        <w:t>ż</w:t>
      </w:r>
      <w:r>
        <w:t>ony z przedstawicieli obu Stron.</w:t>
      </w:r>
    </w:p>
    <w:p w14:paraId="0796325A" w14:textId="77777777" w:rsidR="00E2152B" w:rsidRDefault="00E2152B" w:rsidP="00E2152B">
      <w:pPr>
        <w:pStyle w:val="Listapunktowana"/>
        <w:tabs>
          <w:tab w:val="num" w:pos="360"/>
        </w:tabs>
        <w:spacing w:after="200"/>
      </w:pPr>
      <w:r>
        <w:t>„Dzień Roboczy” – dzień inny niż sobota, niedziela lub dzień ustawowo wolny od pracy w Polsce; dla rozliczeń międzynarodowych mogą mieć zastosowanie dodatkowo dni wolne w kraju banku prowadzącego rachunek rozliczeniowy.</w:t>
      </w:r>
    </w:p>
    <w:p w14:paraId="28165959" w14:textId="028BF89A" w:rsidR="00E2152B" w:rsidRDefault="00E2152B" w:rsidP="00E2152B">
      <w:pPr>
        <w:jc w:val="center"/>
      </w:pPr>
      <w:r>
        <w:rPr>
          <w:b/>
          <w:sz w:val="26"/>
        </w:rPr>
        <w:lastRenderedPageBreak/>
        <w:t>§3</w:t>
      </w:r>
      <w:r>
        <w:rPr>
          <w:b/>
          <w:sz w:val="26"/>
        </w:rPr>
        <w:t>.</w:t>
      </w:r>
      <w:r>
        <w:rPr>
          <w:b/>
          <w:sz w:val="26"/>
        </w:rPr>
        <w:br/>
      </w:r>
      <w:r>
        <w:rPr>
          <w:b/>
          <w:sz w:val="26"/>
        </w:rPr>
        <w:t>Zakres asortymentowy (Biomasa w spektrum zainteresowania)</w:t>
      </w:r>
    </w:p>
    <w:p w14:paraId="7C6E7D13" w14:textId="77777777" w:rsidR="00E2152B" w:rsidRDefault="00E2152B" w:rsidP="00E2152B">
      <w:r>
        <w:t>Strony przewidują, że Konsorcjum będzie obejmować co najmniej następujące rodzaje Biomasy (z możliwością rozszerzenia w Umowie Konsorcjum):</w:t>
      </w:r>
    </w:p>
    <w:p w14:paraId="35C148A0" w14:textId="77777777" w:rsidR="00E2152B" w:rsidRDefault="00E2152B" w:rsidP="00E2152B">
      <w:pPr>
        <w:pStyle w:val="Listapunktowana"/>
        <w:tabs>
          <w:tab w:val="num" w:pos="360"/>
        </w:tabs>
        <w:spacing w:after="200"/>
      </w:pPr>
      <w:r>
        <w:t>PKS (palm kernel shells) – w zakresie dopuszczalnym regulacyjnie i zgodnie z kryteriami zrównoważonego rozwoju.</w:t>
      </w:r>
    </w:p>
    <w:p w14:paraId="530BEC61" w14:textId="77777777" w:rsidR="00E2152B" w:rsidRDefault="00E2152B" w:rsidP="00E2152B">
      <w:pPr>
        <w:pStyle w:val="Listapunktowana"/>
        <w:tabs>
          <w:tab w:val="num" w:pos="360"/>
        </w:tabs>
        <w:spacing w:after="200"/>
      </w:pPr>
      <w:r>
        <w:t>pellet drzewny A2.</w:t>
      </w:r>
    </w:p>
    <w:p w14:paraId="0B781F4E" w14:textId="77777777" w:rsidR="00E2152B" w:rsidRDefault="00E2152B" w:rsidP="00E2152B">
      <w:pPr>
        <w:pStyle w:val="Listapunktowana"/>
        <w:tabs>
          <w:tab w:val="num" w:pos="360"/>
        </w:tabs>
        <w:spacing w:after="200"/>
      </w:pPr>
      <w:r>
        <w:t>pellet drzewny A1 (w tym rozwój wspólnego brandu).</w:t>
      </w:r>
    </w:p>
    <w:p w14:paraId="1A55B38D" w14:textId="77777777" w:rsidR="00E2152B" w:rsidRDefault="00E2152B" w:rsidP="00E2152B">
      <w:pPr>
        <w:pStyle w:val="Listapunktowana"/>
        <w:tabs>
          <w:tab w:val="num" w:pos="360"/>
        </w:tabs>
        <w:spacing w:after="200"/>
      </w:pPr>
      <w:r>
        <w:t>zrębka leśna i tartaczna.</w:t>
      </w:r>
    </w:p>
    <w:p w14:paraId="64D5F53F" w14:textId="77777777" w:rsidR="00E2152B" w:rsidRDefault="00E2152B" w:rsidP="00E2152B">
      <w:pPr>
        <w:pStyle w:val="Listapunktowana"/>
        <w:tabs>
          <w:tab w:val="num" w:pos="360"/>
        </w:tabs>
        <w:spacing w:after="200"/>
      </w:pPr>
      <w:r>
        <w:t>pestki z oliwki, wytłoki z oliwki.</w:t>
      </w:r>
    </w:p>
    <w:p w14:paraId="7F2E6798" w14:textId="4ECCCFFC" w:rsidR="00E2152B" w:rsidRDefault="00E2152B" w:rsidP="00E2152B">
      <w:pPr>
        <w:pStyle w:val="Listapunktowana"/>
        <w:tabs>
          <w:tab w:val="num" w:pos="360"/>
        </w:tabs>
        <w:spacing w:after="200"/>
      </w:pPr>
      <w:r>
        <w:t>pellet z łuski słonecznika.</w:t>
      </w:r>
      <w:r>
        <w:br/>
      </w:r>
    </w:p>
    <w:p w14:paraId="32494022" w14:textId="2253DE8D" w:rsidR="00E2152B" w:rsidRDefault="00E2152B" w:rsidP="00E2152B">
      <w:pPr>
        <w:jc w:val="center"/>
      </w:pPr>
      <w:r>
        <w:rPr>
          <w:b/>
          <w:sz w:val="26"/>
        </w:rPr>
        <w:t xml:space="preserve">§4. </w:t>
      </w:r>
      <w:r>
        <w:rPr>
          <w:b/>
          <w:sz w:val="26"/>
        </w:rPr>
        <w:br/>
      </w:r>
      <w:r>
        <w:rPr>
          <w:b/>
          <w:sz w:val="26"/>
        </w:rPr>
        <w:t>Role i odpowiedzialności Stron</w:t>
      </w:r>
    </w:p>
    <w:p w14:paraId="3F2E3364" w14:textId="77777777" w:rsidR="00E2152B" w:rsidRDefault="00E2152B" w:rsidP="00E2152B">
      <w:r>
        <w:rPr>
          <w:b/>
          <w:sz w:val="24"/>
        </w:rPr>
        <w:t>4.1. Zakres odpowiedzialności CE (Partner Handlowo</w:t>
      </w:r>
      <w:r>
        <w:rPr>
          <w:rFonts w:ascii="Cambria Math" w:hAnsi="Cambria Math" w:cs="Cambria Math"/>
          <w:b/>
          <w:sz w:val="24"/>
        </w:rPr>
        <w:t>‑</w:t>
      </w:r>
      <w:r>
        <w:rPr>
          <w:b/>
          <w:sz w:val="24"/>
        </w:rPr>
        <w:t>Operacyjny)</w:t>
      </w:r>
    </w:p>
    <w:p w14:paraId="6A765167" w14:textId="77777777" w:rsidR="00E2152B" w:rsidRDefault="00E2152B" w:rsidP="00E2152B">
      <w:pPr>
        <w:pStyle w:val="Listapunktowana"/>
        <w:tabs>
          <w:tab w:val="num" w:pos="360"/>
        </w:tabs>
        <w:spacing w:after="200"/>
      </w:pPr>
      <w:r>
        <w:t>wyszukiwanie oraz nawiązywanie kontaktów z producentami biomasy w ujęciu globalnym, w tym doprowadzanie do zawierania umów z producentami – preferencyjnie na zasadzie wyłączności na rynek polski (oraz – w razie uzgodnienia – wybrane rynki Europy Zachodniej);</w:t>
      </w:r>
    </w:p>
    <w:p w14:paraId="581DC099" w14:textId="77777777" w:rsidR="00E2152B" w:rsidRDefault="00E2152B" w:rsidP="00E2152B">
      <w:pPr>
        <w:pStyle w:val="Listapunktowana"/>
        <w:tabs>
          <w:tab w:val="num" w:pos="360"/>
        </w:tabs>
        <w:spacing w:after="200"/>
      </w:pPr>
      <w:r>
        <w:t>dostosowywanie dokumentacji producentów do wymogów RED III, w tym przygotowywanie/aktualizacja kalkulatorów GHG, prowadzenie i archiwizacja dossier compliance dla partii/łańcuchów dostaw;</w:t>
      </w:r>
    </w:p>
    <w:p w14:paraId="087281CE" w14:textId="77777777" w:rsidR="00E2152B" w:rsidRDefault="00E2152B" w:rsidP="00E2152B">
      <w:pPr>
        <w:pStyle w:val="Listapunktowana"/>
        <w:tabs>
          <w:tab w:val="num" w:pos="360"/>
        </w:tabs>
        <w:spacing w:after="200"/>
      </w:pPr>
      <w:r>
        <w:t>aktywna sprzedaż na rynku polskim oraz europejskim (w zakresie uzgodnionym w Planie Sprzedaży);</w:t>
      </w:r>
    </w:p>
    <w:p w14:paraId="2BEA759B" w14:textId="77777777" w:rsidR="00E2152B" w:rsidRDefault="00E2152B" w:rsidP="00E2152B">
      <w:pPr>
        <w:pStyle w:val="Listapunktowana"/>
        <w:tabs>
          <w:tab w:val="num" w:pos="360"/>
        </w:tabs>
        <w:spacing w:after="200"/>
      </w:pPr>
      <w:r>
        <w:t>stworzenie wspólnego brandu dot. peletu A1 z konfekcjonowaniem w Porcie Gdańsk oraz jego aktywna promocja i sprzedaż na rynku europejskim;</w:t>
      </w:r>
    </w:p>
    <w:p w14:paraId="5CAE96DF" w14:textId="77777777" w:rsidR="00E2152B" w:rsidRDefault="00E2152B" w:rsidP="00E2152B">
      <w:pPr>
        <w:pStyle w:val="Listapunktowana"/>
        <w:tabs>
          <w:tab w:val="num" w:pos="360"/>
        </w:tabs>
        <w:spacing w:after="200"/>
      </w:pPr>
      <w:r>
        <w:t>współtworzenie pierwszego w Polsce hubu biomasowego w Porcie Gdańsk – w szczególności w zakresie koncepcji, procesów, standardów jakości, traceability, IT i obsługi klienta;</w:t>
      </w:r>
    </w:p>
    <w:p w14:paraId="30DEC181" w14:textId="77777777" w:rsidR="00E2152B" w:rsidRDefault="00E2152B" w:rsidP="00E2152B">
      <w:pPr>
        <w:pStyle w:val="Listapunktowana"/>
        <w:tabs>
          <w:tab w:val="num" w:pos="360"/>
        </w:tabs>
        <w:spacing w:after="200"/>
      </w:pPr>
      <w:r>
        <w:t>marketing i komunikowanie projektu wśród odbiorców końcowych;</w:t>
      </w:r>
    </w:p>
    <w:p w14:paraId="6CB23931" w14:textId="77777777" w:rsidR="00E2152B" w:rsidRDefault="00E2152B" w:rsidP="00E2152B">
      <w:pPr>
        <w:pStyle w:val="Listapunktowana"/>
        <w:tabs>
          <w:tab w:val="num" w:pos="360"/>
        </w:tabs>
        <w:spacing w:after="200"/>
      </w:pPr>
      <w:r>
        <w:t>stworzenie platformy zakupowej dla odbiorców końcowych ułatwiającej planowanie logistyki, cen i dostępności poszczególnych rodzajów biomasy.</w:t>
      </w:r>
    </w:p>
    <w:p w14:paraId="0C490A02" w14:textId="77777777" w:rsidR="00E2152B" w:rsidRDefault="00E2152B" w:rsidP="00E2152B">
      <w:r>
        <w:rPr>
          <w:b/>
          <w:sz w:val="24"/>
        </w:rPr>
        <w:t>4.2. Zakres odpowiedzialności WGK (Lider Finansujący)</w:t>
      </w:r>
    </w:p>
    <w:p w14:paraId="6911B648" w14:textId="77777777" w:rsidR="00E2152B" w:rsidRDefault="00E2152B" w:rsidP="00E2152B">
      <w:pPr>
        <w:pStyle w:val="Listapunktowana"/>
        <w:tabs>
          <w:tab w:val="num" w:pos="360"/>
        </w:tabs>
        <w:spacing w:after="200"/>
      </w:pPr>
      <w:r>
        <w:lastRenderedPageBreak/>
        <w:t>finansowanie zakupów Biomasy bezpośrednio od wskazanych producentów (w modelu uzgodnionym w Term Sheet), w tym otwieranie akredytyw, przedpłaty, gwarancje lub inne instrumenty bankowe;</w:t>
      </w:r>
    </w:p>
    <w:p w14:paraId="678AD3E7" w14:textId="77777777" w:rsidR="00E2152B" w:rsidRDefault="00E2152B" w:rsidP="00E2152B">
      <w:pPr>
        <w:pStyle w:val="Listapunktowana"/>
        <w:tabs>
          <w:tab w:val="num" w:pos="360"/>
        </w:tabs>
        <w:spacing w:after="200"/>
      </w:pPr>
      <w:r>
        <w:t>wykorzystanie pozycji i marki WGK do aktywnej sprzedaży i promowania produktów oraz rozwiązań logistycznych Konsorcjum, w szczególności wobec energetyki zawodowej;</w:t>
      </w:r>
    </w:p>
    <w:p w14:paraId="53F02666" w14:textId="77777777" w:rsidR="00E2152B" w:rsidRDefault="00E2152B" w:rsidP="00E2152B">
      <w:pPr>
        <w:pStyle w:val="Listapunktowana"/>
        <w:tabs>
          <w:tab w:val="num" w:pos="360"/>
        </w:tabs>
        <w:spacing w:after="200"/>
      </w:pPr>
      <w:r>
        <w:t>udostępnienie wiedzy i kompetencji WGK w zakresie logistyki morskiej, frachtu i obsługi ładunków masowych;</w:t>
      </w:r>
    </w:p>
    <w:p w14:paraId="3EFDFCF5" w14:textId="77777777" w:rsidR="00E2152B" w:rsidRDefault="00E2152B" w:rsidP="00E2152B">
      <w:pPr>
        <w:pStyle w:val="Listapunktowana"/>
        <w:tabs>
          <w:tab w:val="num" w:pos="360"/>
        </w:tabs>
        <w:spacing w:after="200"/>
      </w:pPr>
      <w:r>
        <w:t>stworzenie fizycznego magazynu Biomasy w Porcie Gdańsk dla ilości minimalnej 100 000 MT Biomasy, zgodnie z parametrami technicznymi i wymaganiami BHP/ppoż./środowiskowymi;</w:t>
      </w:r>
    </w:p>
    <w:p w14:paraId="30DE1E0B" w14:textId="77777777" w:rsidR="00E2152B" w:rsidRDefault="00E2152B" w:rsidP="00E2152B">
      <w:pPr>
        <w:pStyle w:val="Listapunktowana"/>
        <w:tabs>
          <w:tab w:val="num" w:pos="360"/>
        </w:tabs>
        <w:spacing w:after="200"/>
      </w:pPr>
      <w:r>
        <w:t>zapewnienie dostępności do posiadanej lub zarządzanej infrastruktury portowej, w tym urządzeń przeładunkowych i usług składowania;</w:t>
      </w:r>
    </w:p>
    <w:p w14:paraId="54335A12" w14:textId="77777777" w:rsidR="00E2152B" w:rsidRDefault="00E2152B" w:rsidP="00E2152B">
      <w:pPr>
        <w:pStyle w:val="Listapunktowana"/>
        <w:tabs>
          <w:tab w:val="num" w:pos="360"/>
        </w:tabs>
        <w:spacing w:after="200"/>
      </w:pPr>
      <w:r>
        <w:t>marketing i komunikowanie projektu wśród odbiorców końcowych – w koordynacji z CE.</w:t>
      </w:r>
    </w:p>
    <w:p w14:paraId="511348B8" w14:textId="77777777" w:rsidR="00E2152B" w:rsidRDefault="00E2152B" w:rsidP="00E2152B">
      <w:r>
        <w:rPr>
          <w:b/>
          <w:sz w:val="24"/>
        </w:rPr>
        <w:t>4.3. Zasady współdziałania</w:t>
      </w:r>
    </w:p>
    <w:p w14:paraId="6BD98F10" w14:textId="77777777" w:rsidR="00E2152B" w:rsidRDefault="00E2152B" w:rsidP="00E2152B">
      <w:r>
        <w:t>1. Strony będą wykonywać swoje obowiązki z należytą starannością wymaganą w profesjonalnym obrocie (due skill and care), w sposób zapewniający zgodność regulacyjną, ciągłość dostaw i ograniczanie ryzyk operacyjnych.</w:t>
      </w:r>
    </w:p>
    <w:p w14:paraId="145238F3" w14:textId="068D9633" w:rsidR="00E2152B" w:rsidRDefault="00E2152B" w:rsidP="00E2152B">
      <w:r>
        <w:t>2. Strony uzgadniają, że szczegółowe SLA operacyjne, KPI, procedury jakościowe, procedury reklamacyjne oraz zasady raportowania zostaną określone w Umowie Konsorcjum i w dokumentach wykonawczych (procedury operacyjne, instrukcje portowe, szablony umów).</w:t>
      </w:r>
      <w:r>
        <w:br/>
      </w:r>
    </w:p>
    <w:p w14:paraId="315F778D" w14:textId="0FFED84B" w:rsidR="00E2152B" w:rsidRDefault="00E2152B" w:rsidP="00E2152B">
      <w:pPr>
        <w:jc w:val="center"/>
      </w:pPr>
      <w:r>
        <w:rPr>
          <w:b/>
          <w:sz w:val="26"/>
        </w:rPr>
        <w:t>§5.</w:t>
      </w:r>
      <w:r>
        <w:rPr>
          <w:b/>
          <w:sz w:val="26"/>
        </w:rPr>
        <w:br/>
      </w:r>
      <w:r>
        <w:rPr>
          <w:b/>
          <w:sz w:val="26"/>
        </w:rPr>
        <w:t>Model organizacyjny Konsorcjum i zarządzanie</w:t>
      </w:r>
    </w:p>
    <w:p w14:paraId="367A3BAF" w14:textId="77777777" w:rsidR="00E2152B" w:rsidRDefault="00E2152B" w:rsidP="00E2152B">
      <w:r>
        <w:t>1. Konsorcjum będzie działało jako współpraca umowna (konsorcjum) bez tworzenia odrębnej osoby prawnej, chyba że Strony postanowią inaczej.</w:t>
      </w:r>
    </w:p>
    <w:p w14:paraId="0A506BCA" w14:textId="77777777" w:rsidR="00E2152B" w:rsidRDefault="00E2152B" w:rsidP="00E2152B">
      <w:r>
        <w:t>2. Strony ustanawiają Komitet Sterujący, który będzie nadzorował realizację projektu i podejmował decyzje w sprawach kluczowych.</w:t>
      </w:r>
    </w:p>
    <w:p w14:paraId="4A43D53C" w14:textId="77777777" w:rsidR="00E2152B" w:rsidRDefault="00E2152B" w:rsidP="00E2152B">
      <w:r>
        <w:t>3. Komitet Sterujący będzie składał się z: (i) [2] przedstawicieli WGK oraz (ii) [2] przedstawicieli CE. Uchwały będą podejmowane jednomyślnie w sprawach określonych w Umowie Konsorcjum jako „Sprawy Zastrzeżone”, w szczególności: zatwierdzenie budżetu, polityki cenowej, polityki ryzyka, wyboru kluczowych dostawców i odbiorców, limitów kredytowych, instrumentów zabezpieczeń oraz zasad brandu.</w:t>
      </w:r>
    </w:p>
    <w:p w14:paraId="2758491F" w14:textId="77777777" w:rsidR="00E2152B" w:rsidRDefault="00E2152B" w:rsidP="00E2152B">
      <w:r>
        <w:lastRenderedPageBreak/>
        <w:t>4. Strony ustanowią Biuro Operacyjne Konsorcjum (PMO) w celu koordynacji akwizycji, compliance, logistyki, sprzedaży i raportowania; szczegółowy opis ról i obsady zostanie wskazany w Załączniku Governance.</w:t>
      </w:r>
    </w:p>
    <w:p w14:paraId="00F9FA70" w14:textId="5EA84BC2" w:rsidR="00E2152B" w:rsidRDefault="00E2152B" w:rsidP="00E2152B">
      <w:pPr>
        <w:jc w:val="center"/>
      </w:pPr>
      <w:r>
        <w:rPr>
          <w:b/>
          <w:sz w:val="26"/>
        </w:rPr>
        <w:t>§6.</w:t>
      </w:r>
      <w:r>
        <w:rPr>
          <w:b/>
          <w:sz w:val="26"/>
        </w:rPr>
        <w:br/>
      </w:r>
      <w:r>
        <w:rPr>
          <w:b/>
          <w:sz w:val="26"/>
        </w:rPr>
        <w:t>Compliance, RED III, zrównoważony rozwój i traceability (WIĄŻĄCE)</w:t>
      </w:r>
    </w:p>
    <w:p w14:paraId="11095BCE" w14:textId="77777777" w:rsidR="00E2152B" w:rsidRDefault="00E2152B" w:rsidP="00E2152B">
      <w:r>
        <w:t>1. Strony uzgadniają, że zgodność z RED III oraz wymaganiami zrównoważonego rozwoju stanowi warunek konieczny realizacji dostaw w ramach Konsorcjum.</w:t>
      </w:r>
    </w:p>
    <w:p w14:paraId="2F139B65" w14:textId="77777777" w:rsidR="00E2152B" w:rsidRDefault="00E2152B" w:rsidP="00E2152B">
      <w:r>
        <w:t>2. CE odpowiada za przygotowanie i aktualizację dossier compliance dla producentów i łańcuchów dostaw, w tym kalkulatorów GHG, a WGK zapewnia wsparcie formalno</w:t>
      </w:r>
      <w:r>
        <w:rPr>
          <w:rFonts w:ascii="Cambria Math" w:hAnsi="Cambria Math" w:cs="Cambria Math"/>
        </w:rPr>
        <w:t>‑</w:t>
      </w:r>
      <w:r>
        <w:t>prawne i audytowe, w zakresie uzgodnionym przez Strony.</w:t>
      </w:r>
    </w:p>
    <w:p w14:paraId="1E3D4174" w14:textId="77777777" w:rsidR="00E2152B" w:rsidRDefault="00E2152B" w:rsidP="00E2152B">
      <w:r>
        <w:t>3. Strony uzgadniają wdrożenie zasad KYC/AML, sankcji międzynarodowych, antykorupcyjnych i kontroli eksportu/importu. Każda Strona może żądać dokumentów KYC oraz oświadczeń sankcyjnych od dostawców i odbiorców jako warunku współpracy.</w:t>
      </w:r>
    </w:p>
    <w:p w14:paraId="2F04D379" w14:textId="796F277E" w:rsidR="00E2152B" w:rsidRDefault="00E2152B" w:rsidP="00E2152B">
      <w:r>
        <w:t>4. Naruszenie compliance (w tym brak możliwości wykazania zgodności RED III lub nieprawidłowości w dokumentacji) uprawnia Stronę niewinną do natychmiastowego wstrzymania dostaw/wydań oraz rozwiązania Umowy Konsorcjum z ważnych powodów, bez uszczerbku dla roszczeń odszkodowawczych.</w:t>
      </w:r>
      <w:r>
        <w:br/>
      </w:r>
    </w:p>
    <w:p w14:paraId="6731A05C" w14:textId="455FC4E6" w:rsidR="00E2152B" w:rsidRDefault="00E2152B" w:rsidP="00E2152B">
      <w:pPr>
        <w:jc w:val="center"/>
      </w:pPr>
      <w:r>
        <w:rPr>
          <w:b/>
          <w:sz w:val="26"/>
        </w:rPr>
        <w:t>§7</w:t>
      </w:r>
      <w:r>
        <w:rPr>
          <w:b/>
          <w:sz w:val="26"/>
        </w:rPr>
        <w:t>.</w:t>
      </w:r>
      <w:r>
        <w:rPr>
          <w:b/>
          <w:sz w:val="26"/>
        </w:rPr>
        <w:br/>
      </w:r>
      <w:r>
        <w:rPr>
          <w:b/>
          <w:sz w:val="26"/>
        </w:rPr>
        <w:t>Jakość, kontrola i reklamacje</w:t>
      </w:r>
    </w:p>
    <w:p w14:paraId="75E1D1FB" w14:textId="77777777" w:rsidR="00E2152B" w:rsidRPr="004B73B4" w:rsidRDefault="00E2152B" w:rsidP="00E2152B">
      <w:pPr>
        <w:spacing w:after="200"/>
        <w:rPr>
          <w:lang w:val="pl-PL"/>
        </w:rPr>
      </w:pPr>
      <w:r>
        <w:rPr>
          <w:lang w:val="pl-PL"/>
        </w:rPr>
        <w:t xml:space="preserve">1. </w:t>
      </w:r>
      <w:r w:rsidRPr="004B73B4">
        <w:rPr>
          <w:lang w:val="pl-PL"/>
        </w:rPr>
        <w:t>Strony uzgadniają, że dla każdego rodzaju Biomasy zostanie uzgodniona Specyfikacja Jakościowa (Załącznik Jakościowy), obejmująca co najmniej: wilgotność, zawartość popiołu, wartość opałową, frakcję, zawartość zanieczyszczeń, parametry logistyczne oraz standardy certyfikacji (o ile wymagane).</w:t>
      </w:r>
    </w:p>
    <w:p w14:paraId="7341898F" w14:textId="77777777" w:rsidR="00E2152B" w:rsidRPr="004B73B4" w:rsidRDefault="00E2152B" w:rsidP="00E2152B">
      <w:pPr>
        <w:spacing w:after="200"/>
        <w:rPr>
          <w:lang w:val="pl-PL"/>
        </w:rPr>
      </w:pPr>
      <w:r>
        <w:rPr>
          <w:lang w:val="pl-PL"/>
        </w:rPr>
        <w:t xml:space="preserve">2. </w:t>
      </w:r>
      <w:r w:rsidRPr="004B73B4">
        <w:rPr>
          <w:lang w:val="pl-PL"/>
        </w:rPr>
        <w:t>Celem Stron jest wdrożenie jednolitych, przejrzystych standardów jakości i kontroli, które umożliwią sprawną realizację dostaw, ograniczenie ryzyk operacyjnych oraz minimalizację sporów. Wszelkie rozbieżności Strony będą w pierwszej kolejności wyjaśniać polubownie w trybie operacyjnym (PMO).</w:t>
      </w:r>
    </w:p>
    <w:p w14:paraId="34472B0F" w14:textId="77777777" w:rsidR="00E2152B" w:rsidRPr="004B73B4" w:rsidRDefault="00E2152B" w:rsidP="00E2152B">
      <w:pPr>
        <w:spacing w:after="200"/>
        <w:rPr>
          <w:lang w:val="pl-PL"/>
        </w:rPr>
      </w:pPr>
      <w:r>
        <w:rPr>
          <w:lang w:val="pl-PL"/>
        </w:rPr>
        <w:t xml:space="preserve">3. </w:t>
      </w:r>
      <w:r w:rsidRPr="004B73B4">
        <w:rPr>
          <w:lang w:val="pl-PL"/>
        </w:rPr>
        <w:t>Przyjęcie Biomasy do Hubu Biomasowego będzie dokumentowane protokołem przyjęcia (PR) obejmującym ważenia, numer partii, pochodzenie, wyniki badań oraz komplet dokumentacji RED III/traceability.</w:t>
      </w:r>
    </w:p>
    <w:p w14:paraId="294BBEE2" w14:textId="77777777" w:rsidR="00E2152B" w:rsidRPr="004B73B4" w:rsidRDefault="00E2152B" w:rsidP="00E2152B">
      <w:pPr>
        <w:spacing w:after="200"/>
        <w:rPr>
          <w:lang w:val="pl-PL"/>
        </w:rPr>
      </w:pPr>
      <w:r>
        <w:rPr>
          <w:lang w:val="pl-PL"/>
        </w:rPr>
        <w:lastRenderedPageBreak/>
        <w:t xml:space="preserve">4. </w:t>
      </w:r>
      <w:r w:rsidRPr="004B73B4">
        <w:rPr>
          <w:lang w:val="pl-PL"/>
        </w:rPr>
        <w:t>Standardowo kontrola jakości będzie realizowana przez niezależnego inspektora (np. SGS/Intertek) lub laboratorium wskazane w Umowie Konsorcjum. Koszty, tryb zlecania badań oraz zasady przechowywania próbek referencyjnych zostaną doprecyzowane w Term Sheet oraz procedurach operacyjnych.</w:t>
      </w:r>
    </w:p>
    <w:p w14:paraId="59E6B52C" w14:textId="77777777" w:rsidR="00E2152B" w:rsidRPr="004B73B4" w:rsidRDefault="00E2152B" w:rsidP="00E2152B">
      <w:pPr>
        <w:spacing w:after="200"/>
        <w:rPr>
          <w:lang w:val="pl-PL"/>
        </w:rPr>
      </w:pPr>
      <w:r>
        <w:rPr>
          <w:lang w:val="pl-PL"/>
        </w:rPr>
        <w:t xml:space="preserve">5. </w:t>
      </w:r>
      <w:r w:rsidRPr="004B73B4">
        <w:rPr>
          <w:lang w:val="pl-PL"/>
        </w:rPr>
        <w:t>W przypadku stwierdzenia odchylenia od Specyfikacji Jakościowej Strony uzgodnią adekwatny sposób postępowania, w szczególności: (i) dodatkowe badanie weryfikacyjne, (ii) zmianę kwalifikacji/klasy partii („regrading”), (iii) korektę rozliczeniową/cenową dla danej partii, lub (iv) inne uzgodnione rozwiązanie, przy zachowaniu ciągłości dostaw do Odbiorców Końcowych, o ile to możliwe.</w:t>
      </w:r>
    </w:p>
    <w:p w14:paraId="02C1475C" w14:textId="77777777" w:rsidR="00E2152B" w:rsidRPr="004B73B4" w:rsidRDefault="00E2152B" w:rsidP="00E2152B">
      <w:pPr>
        <w:spacing w:after="200"/>
        <w:rPr>
          <w:lang w:val="pl-PL"/>
        </w:rPr>
      </w:pPr>
      <w:r>
        <w:rPr>
          <w:lang w:val="pl-PL"/>
        </w:rPr>
        <w:t xml:space="preserve">6. </w:t>
      </w:r>
      <w:r w:rsidRPr="004B73B4">
        <w:rPr>
          <w:lang w:val="pl-PL"/>
        </w:rPr>
        <w:t>Terminy i tryb zgłaszania reklamacji ilościowych i jakościowych zostaną opisane w Umowie Konsorcjum/Term Sheet w sposób proporcjonalny do charakteru obrotu masowego, tak aby zapewnić sprawne rozliczenia i pewność operacyjną. Spór co do jakości może zostać skierowany do analizy rozjemczej niezależnego laboratorium/eksperta – jako mechanizm technicznego rozstrzygnięcia, bez wpływu na bieżącą współpracę.</w:t>
      </w:r>
    </w:p>
    <w:p w14:paraId="4BDB36E3" w14:textId="77777777" w:rsidR="00E2152B" w:rsidRPr="004B73B4" w:rsidRDefault="00E2152B" w:rsidP="00E2152B">
      <w:pPr>
        <w:spacing w:after="200"/>
        <w:rPr>
          <w:lang w:val="pl-PL"/>
        </w:rPr>
      </w:pPr>
      <w:r>
        <w:rPr>
          <w:lang w:val="pl-PL"/>
        </w:rPr>
        <w:t xml:space="preserve">7. </w:t>
      </w:r>
      <w:r w:rsidRPr="004B73B4">
        <w:rPr>
          <w:lang w:val="pl-PL"/>
        </w:rPr>
        <w:t>Jeżeli Strony uzgodnią w przyszłości kary umowne lub inne środki kontraktowe na wypadek istotnych, powtarzalnych naruszeń jakości lub obowiązków operacyjnych, zostaną one określone w Umowie Konsorcjum w sposób rynkowy i proporcjonalny (jako rozwiązanie ostateczne, po wyczerpaniu trybu polubownego).</w:t>
      </w:r>
    </w:p>
    <w:p w14:paraId="33D59196" w14:textId="6973A2A5" w:rsidR="00E2152B" w:rsidRDefault="00E2152B" w:rsidP="00E2152B">
      <w:pPr>
        <w:jc w:val="center"/>
      </w:pPr>
      <w:r>
        <w:rPr>
          <w:b/>
          <w:sz w:val="26"/>
        </w:rPr>
        <w:t>§8.</w:t>
      </w:r>
      <w:r>
        <w:rPr>
          <w:b/>
          <w:sz w:val="26"/>
        </w:rPr>
        <w:br/>
      </w:r>
      <w:r>
        <w:rPr>
          <w:b/>
          <w:sz w:val="26"/>
        </w:rPr>
        <w:t>Hub Biomasowy, usługi portowe, logistyka lądowa</w:t>
      </w:r>
    </w:p>
    <w:p w14:paraId="233F0049" w14:textId="77777777" w:rsidR="00E2152B" w:rsidRDefault="00E2152B" w:rsidP="00E2152B">
      <w:r>
        <w:t>1. Strony potwierdzają, że centralnym elementem operacyjnym Konsorcjum będzie Hub Biomasowy w Porcie Gdańsk, z minimalną zdolnością magazynową 100 000 MT, z możliwością etapowej rozbudowy.</w:t>
      </w:r>
    </w:p>
    <w:p w14:paraId="42FAAD5D" w14:textId="77777777" w:rsidR="00E2152B" w:rsidRDefault="00E2152B" w:rsidP="00E2152B">
      <w:r>
        <w:t>2. WGK zapewni dostęp do infrastruktury portowej oraz usług przeładunkowych i magazynowych (samodzielnie lub przez operatorów), a CE zapewni procesy handlowe, planowanie i obsługę klienta, w tym konfekcjonowanie peletu A1.</w:t>
      </w:r>
    </w:p>
    <w:p w14:paraId="25D98F25" w14:textId="143389E2" w:rsidR="00E2152B" w:rsidRDefault="00E2152B" w:rsidP="00E2152B">
      <w:r>
        <w:t>3. Logistyka lądowa (kolej/samochody) będzie planowana centralnie przez PMO. Strony uzgadniają opracowanie harmonogramów dostaw (delivery windows) oraz procedur awaryjnych na wypadek zakłóceń (contingency plan).</w:t>
      </w:r>
      <w:r>
        <w:br/>
      </w:r>
    </w:p>
    <w:p w14:paraId="2655476C" w14:textId="039F83E8" w:rsidR="00E2152B" w:rsidRDefault="00E2152B" w:rsidP="00E2152B">
      <w:pPr>
        <w:jc w:val="center"/>
      </w:pPr>
      <w:r>
        <w:rPr>
          <w:b/>
          <w:sz w:val="26"/>
        </w:rPr>
        <w:lastRenderedPageBreak/>
        <w:t>§9.</w:t>
      </w:r>
      <w:r>
        <w:rPr>
          <w:b/>
          <w:sz w:val="26"/>
        </w:rPr>
        <w:br/>
      </w:r>
      <w:r>
        <w:rPr>
          <w:b/>
          <w:sz w:val="26"/>
        </w:rPr>
        <w:t>Finansowanie, ubezpieczenia i zarządzanie ryzykiem</w:t>
      </w:r>
    </w:p>
    <w:p w14:paraId="30A1D0ED" w14:textId="77777777" w:rsidR="00E2152B" w:rsidRDefault="00E2152B" w:rsidP="00E2152B">
      <w:r>
        <w:t>1. WGK odpowiada za finansowanie zakupów Biomasy od producentów, w tym dobór instrumentów płatniczych (akredytywy, przedpłaty, inkasa, gwarancje).</w:t>
      </w:r>
    </w:p>
    <w:p w14:paraId="4AD8F401" w14:textId="77777777" w:rsidR="00E2152B" w:rsidRDefault="00E2152B" w:rsidP="00E2152B">
      <w:r>
        <w:t>2. Strony uzgadniają wdrożenie polityki ubezpieczeniowej obejmującej co najmniej: ubezpieczenie ładunku (cargo), OC operatorów, ubezpieczenie składowania, ryzyka pożaru i szkód środowiskowych, oraz – o ile uzasadnione – ubezpieczenie należności.</w:t>
      </w:r>
    </w:p>
    <w:p w14:paraId="0015B763" w14:textId="19941C8C" w:rsidR="00E2152B" w:rsidRDefault="00E2152B" w:rsidP="00E2152B">
      <w:r>
        <w:t>3. Strony uzgadniają wdrożenie polityki zarządzania ryzykiem walutowym (FX) w zakresie transakcji w EUR/USD/PLN, w tym stosowanie zabezpieczeń (forward/swap/options) zgodnie z limitami i procedurami zatwierdzanymi przez Komitet Sterujący.</w:t>
      </w:r>
      <w:r>
        <w:br/>
      </w:r>
    </w:p>
    <w:p w14:paraId="5C290F74" w14:textId="40FF34FA" w:rsidR="00E2152B" w:rsidRDefault="00E2152B" w:rsidP="00E2152B">
      <w:pPr>
        <w:jc w:val="center"/>
      </w:pPr>
      <w:r>
        <w:rPr>
          <w:b/>
          <w:sz w:val="26"/>
        </w:rPr>
        <w:t>§10.</w:t>
      </w:r>
      <w:r>
        <w:rPr>
          <w:b/>
          <w:sz w:val="26"/>
        </w:rPr>
        <w:br/>
      </w:r>
      <w:r>
        <w:rPr>
          <w:b/>
          <w:sz w:val="26"/>
        </w:rPr>
        <w:t>Model handlowy, pricing i podział marży</w:t>
      </w:r>
    </w:p>
    <w:p w14:paraId="2E42C1B7" w14:textId="77777777" w:rsidR="00E2152B" w:rsidRDefault="00E2152B" w:rsidP="00E2152B">
      <w:r>
        <w:t>1. Strony uzgadniają, że sprzedaż Biomasy do Odbiorców Końcowych będzie realizowana w modelu uzgodnionym w Term Sheet, w szczególności jako: (a) sprzedaż przez WGK jako sprzedawcę fakturowego (wspierana handlowo przez CE) lub (b) sprzedaż przez SPV/inną strukturę – jeżeli Strony tak postanowią.</w:t>
      </w:r>
    </w:p>
    <w:p w14:paraId="520E5229" w14:textId="77777777" w:rsidR="00E2152B" w:rsidRDefault="00E2152B" w:rsidP="00E2152B">
      <w:r>
        <w:t>2. Polityka cenowa (pricing) będzie oparta o formułę: Cena Sprzedaży = Koszt Pozyskania (FOB/CIF) + koszty frachtu/portu/logistyki + koszty finansowania/ubezpieczeń + Marża Konsorcjum. Szczegółowe elementy kosztowe i indeksy odniesienia (jeśli stosowane) zostaną określone w Term Sheet.</w:t>
      </w:r>
    </w:p>
    <w:p w14:paraId="0A72D015" w14:textId="77777777" w:rsidR="00E2152B" w:rsidRDefault="00E2152B" w:rsidP="00E2152B">
      <w:r>
        <w:t>3. Podział Marży Konsorcjum:</w:t>
      </w:r>
    </w:p>
    <w:p w14:paraId="71A5594B" w14:textId="77777777" w:rsidR="00E2152B" w:rsidRDefault="00E2152B" w:rsidP="00E2152B">
      <w:pPr>
        <w:pStyle w:val="Listapunktowana"/>
        <w:tabs>
          <w:tab w:val="num" w:pos="360"/>
        </w:tabs>
        <w:spacing w:after="200"/>
      </w:pPr>
      <w:r>
        <w:t>Marża Konsorcjum (po potrąceniu uzgodnionych kosztów bezpośrednich i wspólnych) będzie dzielona pomiędzy Strony w proporcjach: WGK [●]% / CE [●]% (do ustalenia).</w:t>
      </w:r>
    </w:p>
    <w:p w14:paraId="6F5F7DC4" w14:textId="77777777" w:rsidR="00E2152B" w:rsidRDefault="00E2152B" w:rsidP="00E2152B">
      <w:pPr>
        <w:pStyle w:val="Listapunktowana"/>
        <w:tabs>
          <w:tab w:val="num" w:pos="360"/>
        </w:tabs>
        <w:spacing w:after="200"/>
      </w:pPr>
      <w:r>
        <w:t>koszty stałe Hubu Biomasowego, koszty PMO, koszty IT/platformy zakupowej oraz koszty marketingu będą rozliczane według budżetu zatwierdzonego przez Komitet Sterujący;</w:t>
      </w:r>
    </w:p>
    <w:p w14:paraId="3D68BB38" w14:textId="77777777" w:rsidR="00E2152B" w:rsidRDefault="00E2152B" w:rsidP="00E2152B">
      <w:pPr>
        <w:pStyle w:val="Listapunktowana"/>
        <w:tabs>
          <w:tab w:val="num" w:pos="360"/>
        </w:tabs>
        <w:spacing w:after="200"/>
      </w:pPr>
      <w:r>
        <w:t>w przypadku transakcji wymagających nadzwyczajnych nakładów (np. dodatkowe certyfikacje, nietypowe czartery, re-routing), Strony uzgodnią alokację kosztów i marży dla danej transakcji w drodze uchwały Komitetu Sterującego.</w:t>
      </w:r>
    </w:p>
    <w:p w14:paraId="75E32649" w14:textId="77777777" w:rsidR="00E2152B" w:rsidRDefault="00E2152B" w:rsidP="00E2152B">
      <w:r>
        <w:t>4. Mechanizm rozliczeń wewnętrznych, fakturowania usług oraz rozliczenia kosztów wspólnych zostanie szczegółowo opisany w Umowie Konsorcjum (Załącznik nr 2/3).</w:t>
      </w:r>
    </w:p>
    <w:p w14:paraId="5CBCC494" w14:textId="77777777" w:rsidR="00E2152B" w:rsidRDefault="00E2152B" w:rsidP="00E2152B">
      <w:pPr>
        <w:rPr>
          <w:b/>
          <w:sz w:val="26"/>
        </w:rPr>
      </w:pPr>
    </w:p>
    <w:p w14:paraId="2640C1A5" w14:textId="30FA359D" w:rsidR="00E2152B" w:rsidRDefault="00E2152B" w:rsidP="00E2152B">
      <w:pPr>
        <w:jc w:val="center"/>
      </w:pPr>
      <w:r>
        <w:rPr>
          <w:b/>
          <w:sz w:val="26"/>
        </w:rPr>
        <w:lastRenderedPageBreak/>
        <w:t xml:space="preserve">§11. </w:t>
      </w:r>
      <w:r>
        <w:rPr>
          <w:b/>
          <w:sz w:val="26"/>
        </w:rPr>
        <w:br/>
      </w:r>
      <w:r>
        <w:rPr>
          <w:b/>
          <w:sz w:val="26"/>
        </w:rPr>
        <w:t>Płatności i wydanie Biomasy – zasada „nie wyjeżdża z portu nie zapłacone” (PAY</w:t>
      </w:r>
      <w:r>
        <w:rPr>
          <w:rFonts w:ascii="Cambria Math" w:hAnsi="Cambria Math" w:cs="Cambria Math"/>
          <w:b/>
          <w:sz w:val="26"/>
        </w:rPr>
        <w:t>‑</w:t>
      </w:r>
      <w:r>
        <w:rPr>
          <w:b/>
          <w:sz w:val="26"/>
        </w:rPr>
        <w:t>BEFORE</w:t>
      </w:r>
      <w:r>
        <w:rPr>
          <w:rFonts w:ascii="Cambria Math" w:hAnsi="Cambria Math" w:cs="Cambria Math"/>
          <w:b/>
          <w:sz w:val="26"/>
        </w:rPr>
        <w:t>‑</w:t>
      </w:r>
      <w:r>
        <w:rPr>
          <w:b/>
          <w:sz w:val="26"/>
        </w:rPr>
        <w:t>RELEASE)</w:t>
      </w:r>
    </w:p>
    <w:p w14:paraId="1D51ABFD" w14:textId="77777777" w:rsidR="00E2152B" w:rsidRDefault="00E2152B" w:rsidP="00E2152B">
      <w:r>
        <w:t>1. Strony uzgadniają bezwzględną zasadę: bez uprzedniego zaksięgowania pełnej zapłaty za daną partię Biomasy, Biomasa nie może zostać wydana z Zapasu Portowego, załadowana na środek transportu ani opuścić Hubu Biomasowego/Portu Gdańsk.</w:t>
      </w:r>
    </w:p>
    <w:p w14:paraId="613FC29A" w14:textId="77777777" w:rsidR="00E2152B" w:rsidRDefault="00E2152B" w:rsidP="00E2152B">
      <w:r>
        <w:t>2. Standardowa procedura wydania:</w:t>
      </w:r>
    </w:p>
    <w:p w14:paraId="661988E7" w14:textId="77777777" w:rsidR="00E2152B" w:rsidRDefault="00E2152B" w:rsidP="00E2152B">
      <w:pPr>
        <w:pStyle w:val="Listapunktowana"/>
        <w:tabs>
          <w:tab w:val="num" w:pos="360"/>
        </w:tabs>
        <w:spacing w:after="200"/>
      </w:pPr>
      <w:r>
        <w:t>złożenie Dyspozycji Wydania (Release Order) przez uprawnioną osobę PMO;</w:t>
      </w:r>
    </w:p>
    <w:p w14:paraId="7CA5E287" w14:textId="77777777" w:rsidR="00E2152B" w:rsidRDefault="00E2152B" w:rsidP="00E2152B">
      <w:pPr>
        <w:pStyle w:val="Listapunktowana"/>
        <w:tabs>
          <w:tab w:val="num" w:pos="360"/>
        </w:tabs>
        <w:spacing w:after="200"/>
      </w:pPr>
      <w:r>
        <w:t>wystawienie faktury pro forma / noty rozliczeniowej (jeżeli wymagane) oraz identyfikacja partii Biomasy;</w:t>
      </w:r>
    </w:p>
    <w:p w14:paraId="02F0425E" w14:textId="77777777" w:rsidR="00E2152B" w:rsidRDefault="00E2152B" w:rsidP="00E2152B">
      <w:pPr>
        <w:pStyle w:val="Listapunktowana"/>
        <w:tabs>
          <w:tab w:val="num" w:pos="360"/>
        </w:tabs>
        <w:spacing w:after="200"/>
      </w:pPr>
      <w:r>
        <w:t>100% zapłata przez Odbiorcę Końcowego na rachunek wskazany w dokumentach rozliczeniowych albo dostarczenie uzgodnionego zabezpieczenia bankowego (np. akredytywy/SBLC) – wyłącznie jeśli Strony dopuszczą to w Umowie Konsorcjum;</w:t>
      </w:r>
    </w:p>
    <w:p w14:paraId="562EC439" w14:textId="77777777" w:rsidR="00E2152B" w:rsidRDefault="00E2152B" w:rsidP="00E2152B">
      <w:pPr>
        <w:pStyle w:val="Listapunktowana"/>
        <w:tabs>
          <w:tab w:val="num" w:pos="360"/>
        </w:tabs>
        <w:spacing w:after="200"/>
      </w:pPr>
      <w:r>
        <w:t>potwierdzenie zaksięgowania środków przez dział finansowy;</w:t>
      </w:r>
    </w:p>
    <w:p w14:paraId="5B2AA1C3" w14:textId="77777777" w:rsidR="00E2152B" w:rsidRDefault="00E2152B" w:rsidP="00E2152B">
      <w:pPr>
        <w:pStyle w:val="Listapunktowana"/>
        <w:tabs>
          <w:tab w:val="num" w:pos="360"/>
        </w:tabs>
        <w:spacing w:after="200"/>
      </w:pPr>
      <w:r>
        <w:t>wydanie Biomasy na podstawie dokumentu WZ/Delivery Note oraz dokumentów przewozowych (CMR/kolejowy list przewozowy) i/lub dokumentów magazynowych portu.</w:t>
      </w:r>
    </w:p>
    <w:p w14:paraId="0D8CABA1" w14:textId="77777777" w:rsidR="00E2152B" w:rsidRDefault="00E2152B" w:rsidP="00E2152B">
      <w:r>
        <w:t>3. W przypadku braku płatności lub braku jej zaksięgowania Strony (lub operator portowy działający na ich zlecenie) mają prawo wstrzymać wydanie bez ponoszenia odpowiedzialności wobec Odbiorcy Końcowego lub jakichkolwiek podmiotów trzecich.</w:t>
      </w:r>
    </w:p>
    <w:p w14:paraId="68A107A4" w14:textId="4C528940" w:rsidR="00E2152B" w:rsidRDefault="00E2152B" w:rsidP="00E2152B">
      <w:r>
        <w:t>4. Zasada Pay</w:t>
      </w:r>
      <w:r>
        <w:rPr>
          <w:rFonts w:ascii="Cambria Math" w:hAnsi="Cambria Math" w:cs="Cambria Math"/>
        </w:rPr>
        <w:t>‑</w:t>
      </w:r>
      <w:r>
        <w:t>Before</w:t>
      </w:r>
      <w:r>
        <w:rPr>
          <w:rFonts w:ascii="Cambria Math" w:hAnsi="Cambria Math" w:cs="Cambria Math"/>
        </w:rPr>
        <w:t>‑</w:t>
      </w:r>
      <w:r>
        <w:t>Release stanowi warunek kluczowy (essential term) i nie podlega odst</w:t>
      </w:r>
      <w:r>
        <w:rPr>
          <w:rFonts w:cs="Calibri"/>
        </w:rPr>
        <w:t>ę</w:t>
      </w:r>
      <w:r>
        <w:t>pstwom bez pisemnego aneksu podpisanego przez obie Strony.</w:t>
      </w:r>
      <w:r>
        <w:br/>
      </w:r>
    </w:p>
    <w:p w14:paraId="04AF1BB6" w14:textId="5AFE15DF" w:rsidR="00E2152B" w:rsidRDefault="00E2152B" w:rsidP="00E2152B">
      <w:pPr>
        <w:jc w:val="center"/>
      </w:pPr>
      <w:r>
        <w:rPr>
          <w:b/>
          <w:sz w:val="26"/>
        </w:rPr>
        <w:t>§12.</w:t>
      </w:r>
      <w:r>
        <w:rPr>
          <w:b/>
          <w:sz w:val="26"/>
        </w:rPr>
        <w:br/>
      </w:r>
      <w:r>
        <w:rPr>
          <w:b/>
          <w:sz w:val="26"/>
        </w:rPr>
        <w:t>Non</w:t>
      </w:r>
      <w:r>
        <w:rPr>
          <w:rFonts w:ascii="Cambria Math" w:hAnsi="Cambria Math" w:cs="Cambria Math"/>
          <w:b/>
          <w:sz w:val="26"/>
        </w:rPr>
        <w:t>‑</w:t>
      </w:r>
      <w:r>
        <w:rPr>
          <w:b/>
          <w:sz w:val="26"/>
        </w:rPr>
        <w:t>circumvention, ochrona relacji i zasady wy</w:t>
      </w:r>
      <w:r>
        <w:rPr>
          <w:rFonts w:cs="Calibri"/>
          <w:b/>
          <w:sz w:val="26"/>
        </w:rPr>
        <w:t>łą</w:t>
      </w:r>
      <w:r>
        <w:rPr>
          <w:b/>
          <w:sz w:val="26"/>
        </w:rPr>
        <w:t>czno</w:t>
      </w:r>
      <w:r>
        <w:rPr>
          <w:rFonts w:cs="Calibri"/>
          <w:b/>
          <w:sz w:val="26"/>
        </w:rPr>
        <w:t>ś</w:t>
      </w:r>
      <w:r>
        <w:rPr>
          <w:b/>
          <w:sz w:val="26"/>
        </w:rPr>
        <w:t>ci (WI</w:t>
      </w:r>
      <w:r>
        <w:rPr>
          <w:rFonts w:cs="Calibri"/>
          <w:b/>
          <w:sz w:val="26"/>
        </w:rPr>
        <w:t>ĄŻĄ</w:t>
      </w:r>
      <w:r>
        <w:rPr>
          <w:b/>
          <w:sz w:val="26"/>
        </w:rPr>
        <w:t>CE)</w:t>
      </w:r>
    </w:p>
    <w:p w14:paraId="4CC6D5A1" w14:textId="77777777" w:rsidR="00E2152B" w:rsidRDefault="00E2152B" w:rsidP="00E2152B">
      <w:r>
        <w:t>1. Strony zobowiązują się do nieomijania drugiej Strony w zakresie relacji handlowych, producentów, przewoźników, operatorów i odbiorców pozyskanych lub rozwijanych w ramach Konsorcjum.</w:t>
      </w:r>
    </w:p>
    <w:p w14:paraId="02FE6A64" w14:textId="77777777" w:rsidR="00E2152B" w:rsidRDefault="00E2152B" w:rsidP="00E2152B">
      <w:r>
        <w:t>2. CE będzie prowadzić rejestr leadów/dostawców pozyskanych w ramach projektu. WGK będzie prowadzić rejestr kluczowych odbiorców i kontraktów.</w:t>
      </w:r>
    </w:p>
    <w:p w14:paraId="75443D31" w14:textId="77777777" w:rsidR="00E2152B" w:rsidRDefault="00E2152B" w:rsidP="00E2152B">
      <w:r>
        <w:t>3. Okres ochrony relacji (protection period): [24] miesiące od pierwszego ujawnienia leadu drugiej Stronie – do doprecyzowania w Umowie Konsorcjum.</w:t>
      </w:r>
    </w:p>
    <w:p w14:paraId="55EC69DA" w14:textId="77777777" w:rsidR="00E2152B" w:rsidRDefault="00E2152B" w:rsidP="00E2152B">
      <w:r>
        <w:lastRenderedPageBreak/>
        <w:t>4. Wyłączność sourcingu: co do zasady, jeżeli CE doprowadzi do zawarcia umowy z producentem na wyłączność dla Rynku Docelowego, WGK zobowiązuje się realizować zakupy od tego producenta w ramach Konsorcjum (z zachowaniem kryteriów compliance, jakości i ekonomiki).</w:t>
      </w:r>
    </w:p>
    <w:p w14:paraId="69A5B413" w14:textId="6099E1A7" w:rsidR="00E2152B" w:rsidRDefault="00E2152B" w:rsidP="00E2152B">
      <w:r>
        <w:t>5. Kary umowne za naruszenie non</w:t>
      </w:r>
      <w:r>
        <w:rPr>
          <w:rFonts w:ascii="Cambria Math" w:hAnsi="Cambria Math" w:cs="Cambria Math"/>
        </w:rPr>
        <w:t>‑</w:t>
      </w:r>
      <w:r>
        <w:t>circumvention/wy</w:t>
      </w:r>
      <w:r>
        <w:rPr>
          <w:rFonts w:cs="Calibri"/>
        </w:rPr>
        <w:t>łą</w:t>
      </w:r>
      <w:r>
        <w:t>czno</w:t>
      </w:r>
      <w:r>
        <w:rPr>
          <w:rFonts w:cs="Calibri"/>
        </w:rPr>
        <w:t>ś</w:t>
      </w:r>
      <w:r>
        <w:t>ci: [</w:t>
      </w:r>
      <w:r>
        <w:rPr>
          <w:rFonts w:cs="Calibri"/>
        </w:rPr>
        <w:t>●</w:t>
      </w:r>
      <w:r>
        <w:t>] EUR za ka</w:t>
      </w:r>
      <w:r>
        <w:rPr>
          <w:rFonts w:cs="Calibri"/>
        </w:rPr>
        <w:t>ż</w:t>
      </w:r>
      <w:r>
        <w:t>de naruszenie, z prawem dochodzenia odszkodowania uzupe</w:t>
      </w:r>
      <w:r>
        <w:rPr>
          <w:rFonts w:cs="Calibri"/>
        </w:rPr>
        <w:t>ł</w:t>
      </w:r>
      <w:r>
        <w:t>niaj</w:t>
      </w:r>
      <w:r>
        <w:rPr>
          <w:rFonts w:cs="Calibri"/>
        </w:rPr>
        <w:t>ą</w:t>
      </w:r>
      <w:r>
        <w:t>cego.</w:t>
      </w:r>
      <w:r>
        <w:br/>
      </w:r>
    </w:p>
    <w:p w14:paraId="14FA1B9D" w14:textId="725C6460" w:rsidR="00E2152B" w:rsidRDefault="00E2152B" w:rsidP="00E2152B">
      <w:pPr>
        <w:jc w:val="center"/>
      </w:pPr>
      <w:r>
        <w:rPr>
          <w:b/>
          <w:sz w:val="26"/>
        </w:rPr>
        <w:t>§13.</w:t>
      </w:r>
      <w:r>
        <w:rPr>
          <w:b/>
          <w:sz w:val="26"/>
        </w:rPr>
        <w:br/>
      </w:r>
      <w:r>
        <w:rPr>
          <w:b/>
          <w:sz w:val="26"/>
        </w:rPr>
        <w:t>Poufność</w:t>
      </w:r>
    </w:p>
    <w:p w14:paraId="5A02204A" w14:textId="77777777" w:rsidR="00E2152B" w:rsidRDefault="00E2152B" w:rsidP="00E2152B">
      <w:r>
        <w:t>1. Strony zobowiązują się zachować w poufności wszelkie informacje handlowe, techniczne, operacyjne i finansowe uzyskane w związku z projektem.</w:t>
      </w:r>
    </w:p>
    <w:p w14:paraId="1E9D90F3" w14:textId="77777777" w:rsidR="00E2152B" w:rsidRDefault="00E2152B" w:rsidP="00E2152B">
      <w:r>
        <w:t>2. Okres poufności: 5 lat od dnia podpisania niniejszego dokumentu, chyba że Umowa Konsorcjum przewidzi dłuższy okres.</w:t>
      </w:r>
    </w:p>
    <w:p w14:paraId="1DCE7A7E" w14:textId="5D839CDA" w:rsidR="00E2152B" w:rsidRDefault="00E2152B" w:rsidP="00E2152B">
      <w:r>
        <w:t>3. Dopuszczalne ujawnienia: doradcy prawni/finansowi (przy obowiązku poufności), obowiązki prawne/regulacyjne, audytorzy i instytucje finansujące – w zakresie niezbędnym.</w:t>
      </w:r>
      <w:r>
        <w:br/>
      </w:r>
    </w:p>
    <w:p w14:paraId="153E00CD" w14:textId="376BAF15" w:rsidR="00E2152B" w:rsidRDefault="00E2152B" w:rsidP="00E2152B">
      <w:pPr>
        <w:jc w:val="center"/>
      </w:pPr>
      <w:r>
        <w:rPr>
          <w:b/>
          <w:sz w:val="26"/>
        </w:rPr>
        <w:t>§14.</w:t>
      </w:r>
      <w:r>
        <w:rPr>
          <w:b/>
          <w:sz w:val="26"/>
        </w:rPr>
        <w:br/>
      </w:r>
      <w:r>
        <w:rPr>
          <w:b/>
          <w:sz w:val="26"/>
        </w:rPr>
        <w:t>IP, marka wspólna, materiały i dane</w:t>
      </w:r>
    </w:p>
    <w:p w14:paraId="06B187D3" w14:textId="77777777" w:rsidR="00E2152B" w:rsidRDefault="00E2152B" w:rsidP="00E2152B">
      <w:r>
        <w:t>1. Strony uzgadniają stworzenie wspólnego brandu w zakresie peletu A1. Zasady własności praw do znaków towarowych, licencji, identyfikacji wizualnej i materiałów marketingowych zostaną określone w Umowie Konsorcjum.</w:t>
      </w:r>
    </w:p>
    <w:p w14:paraId="63B46AD7" w14:textId="77777777" w:rsidR="00E2152B" w:rsidRDefault="00E2152B" w:rsidP="00E2152B">
      <w:r>
        <w:t>2. Każda Strona zachowuje własność swoich wcześniejszych praw własności intelektualnej (pre</w:t>
      </w:r>
      <w:r>
        <w:rPr>
          <w:rFonts w:ascii="Cambria Math" w:hAnsi="Cambria Math" w:cs="Cambria Math"/>
        </w:rPr>
        <w:t>‑</w:t>
      </w:r>
      <w:r>
        <w:t>existing IP). IP wytworzone wsp</w:t>
      </w:r>
      <w:r>
        <w:rPr>
          <w:rFonts w:cs="Calibri"/>
        </w:rPr>
        <w:t>ó</w:t>
      </w:r>
      <w:r>
        <w:t>lnie w ramach projektu (w szczeg</w:t>
      </w:r>
      <w:r>
        <w:rPr>
          <w:rFonts w:cs="Calibri"/>
        </w:rPr>
        <w:t>ó</w:t>
      </w:r>
      <w:r>
        <w:t>lno</w:t>
      </w:r>
      <w:r>
        <w:rPr>
          <w:rFonts w:cs="Calibri"/>
        </w:rPr>
        <w:t>ś</w:t>
      </w:r>
      <w:r>
        <w:t>ci know</w:t>
      </w:r>
      <w:r>
        <w:rPr>
          <w:rFonts w:ascii="Cambria Math" w:hAnsi="Cambria Math" w:cs="Cambria Math"/>
        </w:rPr>
        <w:t>‑</w:t>
      </w:r>
      <w:r>
        <w:t>how procesowe, narz</w:t>
      </w:r>
      <w:r>
        <w:rPr>
          <w:rFonts w:cs="Calibri"/>
        </w:rPr>
        <w:t>ę</w:t>
      </w:r>
      <w:r>
        <w:t>dzia GHG, platforma zakupowa) b</w:t>
      </w:r>
      <w:r>
        <w:rPr>
          <w:rFonts w:cs="Calibri"/>
        </w:rPr>
        <w:t>ę</w:t>
      </w:r>
      <w:r>
        <w:t>dzie wsp</w:t>
      </w:r>
      <w:r>
        <w:rPr>
          <w:rFonts w:cs="Calibri"/>
        </w:rPr>
        <w:t>ół</w:t>
      </w:r>
      <w:r>
        <w:t>w</w:t>
      </w:r>
      <w:r>
        <w:rPr>
          <w:rFonts w:cs="Calibri"/>
        </w:rPr>
        <w:t>ł</w:t>
      </w:r>
      <w:r>
        <w:t>asno</w:t>
      </w:r>
      <w:r>
        <w:rPr>
          <w:rFonts w:cs="Calibri"/>
        </w:rPr>
        <w:t>ś</w:t>
      </w:r>
      <w:r>
        <w:t>ci</w:t>
      </w:r>
      <w:r>
        <w:rPr>
          <w:rFonts w:cs="Calibri"/>
        </w:rPr>
        <w:t>ą</w:t>
      </w:r>
      <w:r>
        <w:t xml:space="preserve"> w udzia</w:t>
      </w:r>
      <w:r>
        <w:rPr>
          <w:rFonts w:cs="Calibri"/>
        </w:rPr>
        <w:t>ł</w:t>
      </w:r>
      <w:r>
        <w:t>ach [</w:t>
      </w:r>
      <w:r>
        <w:rPr>
          <w:rFonts w:cs="Calibri"/>
        </w:rPr>
        <w:t>●</w:t>
      </w:r>
      <w:r>
        <w:t>]/[●] lub objęte licencją – do ustalenia.</w:t>
      </w:r>
    </w:p>
    <w:p w14:paraId="1B7394FF" w14:textId="392880A3" w:rsidR="00E2152B" w:rsidRDefault="00E2152B" w:rsidP="00E2152B">
      <w:r>
        <w:t>3. Strony wdrożą zasady ochrony danych i cyberbezpieczeństwa dla platformy zakupowej i raportowania (role, uprawnienia, backup, logi, audyt).</w:t>
      </w:r>
      <w:r>
        <w:br/>
      </w:r>
    </w:p>
    <w:p w14:paraId="3C27BAC7" w14:textId="3ED9F0D9" w:rsidR="00E2152B" w:rsidRDefault="00E2152B" w:rsidP="00E2152B">
      <w:pPr>
        <w:jc w:val="center"/>
      </w:pPr>
      <w:r>
        <w:rPr>
          <w:b/>
          <w:sz w:val="26"/>
        </w:rPr>
        <w:t>§15.</w:t>
      </w:r>
      <w:r>
        <w:rPr>
          <w:b/>
          <w:sz w:val="26"/>
        </w:rPr>
        <w:br/>
      </w:r>
      <w:r>
        <w:rPr>
          <w:b/>
          <w:sz w:val="26"/>
        </w:rPr>
        <w:t>Koszty</w:t>
      </w:r>
    </w:p>
    <w:p w14:paraId="5B352A59" w14:textId="77777777" w:rsidR="00E2152B" w:rsidRDefault="00E2152B" w:rsidP="00E2152B">
      <w:r>
        <w:t>1. Każda Strona ponosi własne koszty negocjacji i doradztwa, chyba że Strony postanowią inaczej na piśmie.</w:t>
      </w:r>
    </w:p>
    <w:p w14:paraId="21A6922B" w14:textId="49F97A71" w:rsidR="00E2152B" w:rsidRDefault="00E2152B" w:rsidP="00E2152B">
      <w:r>
        <w:lastRenderedPageBreak/>
        <w:t>2. Koszty przygotowania i uruchomienia Hubu Biomasowego, platformy zakupowej, budżetu marketingowego oraz PMO będą rozliczane zgodnie z budżetem zatwierdzonym przez Komitet Sterujący i mechanizmem cost</w:t>
      </w:r>
      <w:r>
        <w:rPr>
          <w:rFonts w:ascii="Cambria Math" w:hAnsi="Cambria Math" w:cs="Cambria Math"/>
        </w:rPr>
        <w:t>‑</w:t>
      </w:r>
      <w:r>
        <w:t>sharing w Umowie Konsorcjum.</w:t>
      </w:r>
      <w:r>
        <w:br/>
      </w:r>
    </w:p>
    <w:p w14:paraId="0E423C70" w14:textId="074CDB2B" w:rsidR="00E2152B" w:rsidRDefault="00E2152B" w:rsidP="00E2152B">
      <w:pPr>
        <w:jc w:val="center"/>
      </w:pPr>
      <w:r>
        <w:rPr>
          <w:b/>
          <w:sz w:val="26"/>
        </w:rPr>
        <w:t>§16.</w:t>
      </w:r>
      <w:r>
        <w:rPr>
          <w:b/>
          <w:sz w:val="26"/>
        </w:rPr>
        <w:br/>
      </w:r>
      <w:r>
        <w:rPr>
          <w:b/>
          <w:sz w:val="26"/>
        </w:rPr>
        <w:t>Harmonogram i obowiązek zawarcia Umowy Konsorcjum</w:t>
      </w:r>
    </w:p>
    <w:p w14:paraId="1E154CBC" w14:textId="77777777" w:rsidR="00E2152B" w:rsidRDefault="00E2152B" w:rsidP="00E2152B">
      <w:r>
        <w:t>1. Strony zobowiązują się wynegocjować i podpisać Umowę Konsorcjum w terminie 60 dni od podpisania niniejszego dokumentu, o ile negocjacje nie zostaną przedłużone pisemnie.</w:t>
      </w:r>
    </w:p>
    <w:p w14:paraId="322D9D0B" w14:textId="2A80A21E" w:rsidR="00E2152B" w:rsidRDefault="00E2152B" w:rsidP="00E2152B">
      <w:r>
        <w:t>2. Do czasu podpisania Umowy Konsorcjum Strony mogą prowadzić prace przygotowawcze (sourcing, compliance, rozmowy handlowe) na zasadach poufności i non</w:t>
      </w:r>
      <w:r>
        <w:rPr>
          <w:rFonts w:ascii="Cambria Math" w:hAnsi="Cambria Math" w:cs="Cambria Math"/>
        </w:rPr>
        <w:t>‑</w:t>
      </w:r>
      <w:r>
        <w:t>circumvention oraz w re</w:t>
      </w:r>
      <w:r>
        <w:rPr>
          <w:rFonts w:cs="Calibri"/>
        </w:rPr>
        <w:t>ż</w:t>
      </w:r>
      <w:r>
        <w:t>imie zatwierdzania przez Komitet Steruj</w:t>
      </w:r>
      <w:r>
        <w:rPr>
          <w:rFonts w:cs="Calibri"/>
        </w:rPr>
        <w:t>ą</w:t>
      </w:r>
      <w:r>
        <w:t>cy.</w:t>
      </w:r>
      <w:r>
        <w:br/>
      </w:r>
    </w:p>
    <w:p w14:paraId="1AEE732F" w14:textId="337C23BF" w:rsidR="00E2152B" w:rsidRDefault="00E2152B" w:rsidP="00E2152B">
      <w:pPr>
        <w:jc w:val="center"/>
      </w:pPr>
      <w:r>
        <w:rPr>
          <w:b/>
          <w:sz w:val="26"/>
        </w:rPr>
        <w:t>§17.</w:t>
      </w:r>
      <w:r>
        <w:rPr>
          <w:b/>
          <w:sz w:val="26"/>
        </w:rPr>
        <w:br/>
      </w:r>
      <w:r>
        <w:rPr>
          <w:b/>
          <w:sz w:val="26"/>
        </w:rPr>
        <w:t>Prawo właściwe i arbitraż</w:t>
      </w:r>
    </w:p>
    <w:p w14:paraId="48C590CA" w14:textId="77777777" w:rsidR="00E2152B" w:rsidRPr="00A46D1C" w:rsidRDefault="00E2152B" w:rsidP="00E2152B">
      <w:pPr>
        <w:pStyle w:val="Akapitzlist"/>
        <w:numPr>
          <w:ilvl w:val="0"/>
          <w:numId w:val="7"/>
        </w:numPr>
        <w:spacing w:after="200"/>
        <w:ind w:left="426"/>
        <w:rPr>
          <w:lang w:val="pl-PL"/>
        </w:rPr>
      </w:pPr>
      <w:r w:rsidRPr="00A46D1C">
        <w:rPr>
          <w:b/>
          <w:bCs/>
          <w:lang w:val="pl-PL"/>
        </w:rPr>
        <w:t>Prawo właściwe:</w:t>
      </w:r>
      <w:r w:rsidRPr="00A46D1C">
        <w:rPr>
          <w:lang w:val="pl-PL"/>
        </w:rPr>
        <w:t xml:space="preserve"> niniejszy dokument oraz Umowa Konsorcjum i wszelkie umowy wykonawcze podlegają prawu Rzeczypospolitej Polskiej.</w:t>
      </w:r>
    </w:p>
    <w:p w14:paraId="5E50707E" w14:textId="77777777" w:rsidR="00E2152B" w:rsidRPr="00A46D1C" w:rsidRDefault="00E2152B" w:rsidP="00E2152B">
      <w:pPr>
        <w:pStyle w:val="Akapitzlist"/>
        <w:numPr>
          <w:ilvl w:val="0"/>
          <w:numId w:val="7"/>
        </w:numPr>
        <w:spacing w:after="200"/>
        <w:ind w:left="426"/>
        <w:rPr>
          <w:lang w:val="pl-PL"/>
        </w:rPr>
      </w:pPr>
      <w:r w:rsidRPr="00A46D1C">
        <w:rPr>
          <w:b/>
          <w:bCs/>
          <w:lang w:val="pl-PL"/>
        </w:rPr>
        <w:t>Jurysdykcja:</w:t>
      </w:r>
      <w:r w:rsidRPr="00A46D1C">
        <w:rPr>
          <w:lang w:val="pl-PL"/>
        </w:rPr>
        <w:t xml:space="preserve"> wszelkie spory wynikające z niniejszego dokumentu lub z nim związane, w tym dotyczące jego ważności, naruszenia, rozwiązania lub nieważności, będą rozstrzygane przez </w:t>
      </w:r>
      <w:r w:rsidRPr="00A46D1C">
        <w:rPr>
          <w:b/>
          <w:bCs/>
          <w:lang w:val="pl-PL"/>
        </w:rPr>
        <w:t>sądy powszechne właściwe rzeczowo dla siedziby Węglokoks S.A. w Katowicach (Polska)</w:t>
      </w:r>
      <w:r w:rsidRPr="00A46D1C">
        <w:rPr>
          <w:lang w:val="pl-PL"/>
        </w:rPr>
        <w:t>, z zastrzeżeniem bezwzględnie obowiązujących przepisów o właściwości.</w:t>
      </w:r>
    </w:p>
    <w:p w14:paraId="4EF88D2E" w14:textId="77777777" w:rsidR="00E2152B" w:rsidRPr="00A46D1C" w:rsidRDefault="00E2152B" w:rsidP="00E2152B">
      <w:pPr>
        <w:pStyle w:val="Akapitzlist"/>
        <w:numPr>
          <w:ilvl w:val="0"/>
          <w:numId w:val="7"/>
        </w:numPr>
        <w:spacing w:after="200"/>
        <w:ind w:left="426"/>
        <w:rPr>
          <w:lang w:val="pl-PL"/>
        </w:rPr>
      </w:pPr>
      <w:r w:rsidRPr="00A46D1C">
        <w:rPr>
          <w:b/>
          <w:bCs/>
          <w:lang w:val="pl-PL"/>
        </w:rPr>
        <w:t>Zabezpieczenie roszczeń:</w:t>
      </w:r>
      <w:r w:rsidRPr="00A46D1C">
        <w:rPr>
          <w:lang w:val="pl-PL"/>
        </w:rPr>
        <w:t xml:space="preserve"> niezależnie od ust. 2, każda ze Stron może dochodzić zabezpieczenia roszczeń (w tym środków tymczasowych) przed właściwym sądem powszechnym, zgodnie z przepisami prawa polskiego.</w:t>
      </w:r>
    </w:p>
    <w:p w14:paraId="304CFDC5" w14:textId="3CE08CEA" w:rsidR="00E2152B" w:rsidRDefault="00E2152B" w:rsidP="00E2152B">
      <w:pPr>
        <w:jc w:val="center"/>
      </w:pPr>
      <w:r>
        <w:rPr>
          <w:b/>
          <w:sz w:val="26"/>
        </w:rPr>
        <w:t>§18.</w:t>
      </w:r>
      <w:r>
        <w:rPr>
          <w:b/>
          <w:sz w:val="26"/>
        </w:rPr>
        <w:br/>
      </w:r>
      <w:r>
        <w:rPr>
          <w:b/>
          <w:sz w:val="26"/>
        </w:rPr>
        <w:t>Postanowienia końcowe</w:t>
      </w:r>
    </w:p>
    <w:p w14:paraId="14B0432A" w14:textId="77777777" w:rsidR="00E2152B" w:rsidRDefault="00E2152B" w:rsidP="00E2152B">
      <w:r>
        <w:t>1. Dokument wchodzi w życie z dniem podpisania przez obie Strony.</w:t>
      </w:r>
    </w:p>
    <w:p w14:paraId="490D5881" w14:textId="77777777" w:rsidR="00E2152B" w:rsidRDefault="00E2152B" w:rsidP="00E2152B">
      <w:r>
        <w:t>2. Zmiany wymagają formy pisemnej pod rygorem nieważności.</w:t>
      </w:r>
    </w:p>
    <w:p w14:paraId="20093A30" w14:textId="77777777" w:rsidR="00E2152B" w:rsidRDefault="00E2152B" w:rsidP="00E2152B">
      <w:r>
        <w:t>3. Załączniki stanowią integralną część dokumentu.</w:t>
      </w:r>
    </w:p>
    <w:p w14:paraId="1CA86AC9" w14:textId="77777777" w:rsidR="00E2152B" w:rsidRDefault="00E2152B" w:rsidP="00E2152B"/>
    <w:p w14:paraId="45DAE9D2" w14:textId="77777777" w:rsidR="00E2152B" w:rsidRDefault="00E2152B" w:rsidP="00E2152B"/>
    <w:p w14:paraId="5B1E0B97" w14:textId="77777777" w:rsidR="00E2152B" w:rsidRDefault="00E2152B" w:rsidP="00E2152B"/>
    <w:p w14:paraId="1D09F771" w14:textId="77777777" w:rsidR="00E2152B" w:rsidRDefault="00E2152B" w:rsidP="00E2152B"/>
    <w:p w14:paraId="22665FC7" w14:textId="77777777" w:rsidR="00E2152B" w:rsidRDefault="00E2152B" w:rsidP="00E2152B">
      <w:r>
        <w:rPr>
          <w:b/>
          <w:sz w:val="24"/>
        </w:rPr>
        <w:t>Podpisy:</w:t>
      </w:r>
    </w:p>
    <w:p w14:paraId="4C7511D6" w14:textId="77777777" w:rsidR="00E2152B" w:rsidRDefault="00E2152B" w:rsidP="00E2152B">
      <w:r>
        <w:t>Węglokoks S.A.</w:t>
      </w:r>
      <w:r>
        <w:br/>
        <w:t>………………………………………</w:t>
      </w:r>
      <w:r>
        <w:br/>
        <w:t>[●]</w:t>
      </w:r>
    </w:p>
    <w:p w14:paraId="423A0F97" w14:textId="77777777" w:rsidR="00E2152B" w:rsidRDefault="00E2152B" w:rsidP="00E2152B"/>
    <w:p w14:paraId="4874ED52" w14:textId="77777777" w:rsidR="00E2152B" w:rsidRDefault="00E2152B" w:rsidP="00E2152B">
      <w:r>
        <w:t>Carmex Expert Sp. z o.o.</w:t>
      </w:r>
      <w:r>
        <w:br/>
        <w:t>………………………………………</w:t>
      </w:r>
      <w:r>
        <w:br/>
        <w:t>Marcin Wiecheć – Prezes Zarządu</w:t>
      </w:r>
    </w:p>
    <w:p w14:paraId="48C137FB" w14:textId="77777777" w:rsidR="00E2152B" w:rsidRDefault="00E2152B" w:rsidP="00E2152B">
      <w:r>
        <w:br w:type="page"/>
      </w:r>
    </w:p>
    <w:p w14:paraId="378D862E" w14:textId="77777777" w:rsidR="00E2152B" w:rsidRDefault="00E2152B" w:rsidP="00E2152B">
      <w:r>
        <w:rPr>
          <w:b/>
          <w:sz w:val="26"/>
        </w:rPr>
        <w:lastRenderedPageBreak/>
        <w:t>ZAŁĄCZNIK NR 1 – TERM SHEET (PL) – konsorcjum biomasa</w:t>
      </w:r>
    </w:p>
    <w:p w14:paraId="4B615F10" w14:textId="77777777" w:rsidR="00E2152B" w:rsidRDefault="00E2152B" w:rsidP="00E2152B">
      <w:r>
        <w:t>Poniższy Term Sheet stanowi uzgodnienia kierunkowe i będzie uszczegółowiony w Umowie Konsorcjum.</w:t>
      </w:r>
    </w:p>
    <w:p w14:paraId="7188C62C" w14:textId="77777777" w:rsidR="00E2152B" w:rsidRDefault="00E2152B" w:rsidP="00E2152B">
      <w:r>
        <w:rPr>
          <w:b/>
          <w:sz w:val="24"/>
        </w:rPr>
        <w:t>A. Model i zakres</w:t>
      </w:r>
    </w:p>
    <w:p w14:paraId="27276C43" w14:textId="77777777" w:rsidR="00E2152B" w:rsidRDefault="00E2152B" w:rsidP="00E2152B">
      <w:pPr>
        <w:pStyle w:val="Listapunktowana"/>
        <w:tabs>
          <w:tab w:val="num" w:pos="360"/>
        </w:tabs>
        <w:spacing w:after="200"/>
      </w:pPr>
      <w:r>
        <w:t>Forma: konsorcjum (umowa o współpracy) – bez tworzenia odrębnej osoby prawnej (chyba że Strony postanowią inaczej).</w:t>
      </w:r>
    </w:p>
    <w:p w14:paraId="2E711DEF" w14:textId="77777777" w:rsidR="00E2152B" w:rsidRDefault="00E2152B" w:rsidP="00E2152B">
      <w:pPr>
        <w:pStyle w:val="Listapunktowana"/>
        <w:tabs>
          <w:tab w:val="num" w:pos="360"/>
        </w:tabs>
        <w:spacing w:after="200"/>
      </w:pPr>
      <w:r>
        <w:t>Rynek Docelowy: Polska + (po uzgodnieniu) wybrane rynki Europy Zachodniej.</w:t>
      </w:r>
    </w:p>
    <w:p w14:paraId="44961A43" w14:textId="77777777" w:rsidR="00E2152B" w:rsidRDefault="00E2152B" w:rsidP="00E2152B">
      <w:pPr>
        <w:pStyle w:val="Listapunktowana"/>
        <w:tabs>
          <w:tab w:val="num" w:pos="360"/>
        </w:tabs>
        <w:spacing w:after="200"/>
      </w:pPr>
      <w:r>
        <w:t>Minimalna zdolność magazynowa Hubu: 100 000 MT w Porcie Gdańsk.</w:t>
      </w:r>
    </w:p>
    <w:p w14:paraId="4D7A5E45" w14:textId="77777777" w:rsidR="00E2152B" w:rsidRDefault="00E2152B" w:rsidP="00E2152B">
      <w:pPr>
        <w:pStyle w:val="Listapunktowana"/>
        <w:tabs>
          <w:tab w:val="num" w:pos="360"/>
        </w:tabs>
        <w:spacing w:after="200"/>
      </w:pPr>
      <w:r>
        <w:t>Asortyment: zgodnie z §3 (z możliwością rozszerzenia).</w:t>
      </w:r>
    </w:p>
    <w:p w14:paraId="6A7F666A" w14:textId="77777777" w:rsidR="00E2152B" w:rsidRDefault="00E2152B" w:rsidP="00E2152B">
      <w:r>
        <w:rPr>
          <w:b/>
          <w:sz w:val="24"/>
        </w:rPr>
        <w:t>B. Proces transakcyjny (high level)</w:t>
      </w:r>
    </w:p>
    <w:p w14:paraId="3488D92F" w14:textId="77777777" w:rsidR="00E2152B" w:rsidRDefault="00E2152B" w:rsidP="00E2152B">
      <w:pPr>
        <w:pStyle w:val="Listanumerowana"/>
        <w:numPr>
          <w:ilvl w:val="0"/>
          <w:numId w:val="6"/>
        </w:numPr>
        <w:ind w:left="284"/>
      </w:pPr>
      <w:r>
        <w:t>Akwizycja producenta (CE) + due diligence compliance/KYC (CE/WGK).</w:t>
      </w:r>
    </w:p>
    <w:p w14:paraId="0100B067" w14:textId="77777777" w:rsidR="00E2152B" w:rsidRDefault="00E2152B" w:rsidP="00E2152B">
      <w:pPr>
        <w:pStyle w:val="Listanumerowana"/>
        <w:numPr>
          <w:ilvl w:val="0"/>
          <w:numId w:val="6"/>
        </w:numPr>
        <w:ind w:left="284"/>
      </w:pPr>
      <w:r>
        <w:t>Kontraktacja z producentem (preferencyjnie: wyłączność na Rynek Docelowy).</w:t>
      </w:r>
    </w:p>
    <w:p w14:paraId="127C081B" w14:textId="77777777" w:rsidR="00E2152B" w:rsidRDefault="00E2152B" w:rsidP="00E2152B">
      <w:pPr>
        <w:pStyle w:val="Listanumerowana"/>
        <w:numPr>
          <w:ilvl w:val="0"/>
          <w:numId w:val="6"/>
        </w:numPr>
        <w:ind w:left="284"/>
      </w:pPr>
      <w:r>
        <w:t>Finansowanie zakupu i płatności do producenta (WGK) – instrumenty bankowe zgodnie z polityką ryzyka.</w:t>
      </w:r>
    </w:p>
    <w:p w14:paraId="3B4FBF7D" w14:textId="77777777" w:rsidR="00E2152B" w:rsidRDefault="00E2152B" w:rsidP="00E2152B">
      <w:pPr>
        <w:pStyle w:val="Listanumerowana"/>
        <w:numPr>
          <w:ilvl w:val="0"/>
          <w:numId w:val="6"/>
        </w:numPr>
        <w:ind w:left="284"/>
      </w:pPr>
      <w:r>
        <w:t>Fracht morski i dostawa do Portu Gdańsk (WGK, przy wsparciu CE w planowaniu).</w:t>
      </w:r>
    </w:p>
    <w:p w14:paraId="7D71EEEB" w14:textId="77777777" w:rsidR="00E2152B" w:rsidRDefault="00E2152B" w:rsidP="00E2152B">
      <w:pPr>
        <w:pStyle w:val="Listanumerowana"/>
        <w:numPr>
          <w:ilvl w:val="0"/>
          <w:numId w:val="6"/>
        </w:numPr>
        <w:ind w:left="284"/>
      </w:pPr>
      <w:r>
        <w:t>Przyjęcie do Hubu, inspekcja jakości, kompletacja dossier RED III/GHG (CE/Operator; nadzór WGK).</w:t>
      </w:r>
    </w:p>
    <w:p w14:paraId="16E7A110" w14:textId="77777777" w:rsidR="00E2152B" w:rsidRDefault="00E2152B" w:rsidP="00E2152B">
      <w:pPr>
        <w:pStyle w:val="Listanumerowana"/>
        <w:numPr>
          <w:ilvl w:val="0"/>
          <w:numId w:val="6"/>
        </w:numPr>
        <w:ind w:left="284"/>
      </w:pPr>
      <w:r>
        <w:t>Sprzedaż do Odbiorcy Końcowego (CE+WGK) i wydanie zgodnie z Pay</w:t>
      </w:r>
      <w:r>
        <w:rPr>
          <w:rFonts w:ascii="Cambria Math" w:hAnsi="Cambria Math" w:cs="Cambria Math"/>
        </w:rPr>
        <w:t>‑</w:t>
      </w:r>
      <w:r>
        <w:t>Before</w:t>
      </w:r>
      <w:r>
        <w:rPr>
          <w:rFonts w:ascii="Cambria Math" w:hAnsi="Cambria Math" w:cs="Cambria Math"/>
        </w:rPr>
        <w:t>‑</w:t>
      </w:r>
      <w:r>
        <w:t>Release.</w:t>
      </w:r>
    </w:p>
    <w:p w14:paraId="4F1AA7AC" w14:textId="77777777" w:rsidR="00E2152B" w:rsidRDefault="00E2152B" w:rsidP="00E2152B">
      <w:pPr>
        <w:pStyle w:val="Listanumerowana"/>
        <w:numPr>
          <w:ilvl w:val="0"/>
          <w:numId w:val="6"/>
        </w:numPr>
        <w:ind w:left="284"/>
      </w:pPr>
      <w:r>
        <w:t>Raportowanie ilości/jakości/traceability i rozliczenie Marży Konsorcjum.</w:t>
      </w:r>
    </w:p>
    <w:p w14:paraId="4C9F488D" w14:textId="77777777" w:rsidR="00E2152B" w:rsidRDefault="00E2152B" w:rsidP="00E2152B">
      <w:r>
        <w:rPr>
          <w:b/>
          <w:sz w:val="24"/>
        </w:rPr>
        <w:t>C. Płatności i wydanie (sztywno)</w:t>
      </w:r>
    </w:p>
    <w:p w14:paraId="15AF259D" w14:textId="77777777" w:rsidR="00E2152B" w:rsidRDefault="00E2152B" w:rsidP="00E2152B">
      <w:pPr>
        <w:pStyle w:val="Listapunktowana"/>
        <w:tabs>
          <w:tab w:val="num" w:pos="360"/>
        </w:tabs>
        <w:spacing w:after="200"/>
      </w:pPr>
      <w:r>
        <w:t>Pay</w:t>
      </w:r>
      <w:r>
        <w:rPr>
          <w:rFonts w:ascii="Cambria Math" w:hAnsi="Cambria Math" w:cs="Cambria Math"/>
        </w:rPr>
        <w:t>‑</w:t>
      </w:r>
      <w:r>
        <w:t>Before</w:t>
      </w:r>
      <w:r>
        <w:rPr>
          <w:rFonts w:ascii="Cambria Math" w:hAnsi="Cambria Math" w:cs="Cambria Math"/>
        </w:rPr>
        <w:t>‑</w:t>
      </w:r>
      <w:r>
        <w:t>Release: bez zap</w:t>
      </w:r>
      <w:r>
        <w:rPr>
          <w:rFonts w:cs="Calibri"/>
        </w:rPr>
        <w:t>ł</w:t>
      </w:r>
      <w:r>
        <w:t>aty Biomasa nie opuszcza portu (essential term).</w:t>
      </w:r>
    </w:p>
    <w:p w14:paraId="7B42AA15" w14:textId="77777777" w:rsidR="00E2152B" w:rsidRDefault="00E2152B" w:rsidP="00E2152B">
      <w:pPr>
        <w:pStyle w:val="Listapunktowana"/>
        <w:tabs>
          <w:tab w:val="num" w:pos="360"/>
        </w:tabs>
        <w:spacing w:after="200"/>
      </w:pPr>
      <w:r>
        <w:t>Dokumenty wydania: WZ/Delivery Note + CMR/kolejowy list przewozowy + raport jakości + komplet dokumentacji RED III/traceability.</w:t>
      </w:r>
    </w:p>
    <w:p w14:paraId="4783F4B8" w14:textId="77777777" w:rsidR="00E2152B" w:rsidRDefault="00E2152B" w:rsidP="00E2152B">
      <w:pPr>
        <w:pStyle w:val="Listapunktowana"/>
        <w:tabs>
          <w:tab w:val="num" w:pos="360"/>
        </w:tabs>
        <w:spacing w:after="200"/>
      </w:pPr>
      <w:r>
        <w:t>Możliwe zabezpieczenia zastępcze (opcjonalnie): L/C lub SBLC – wyłącznie po uchwale Komitetu Sterującego i uzgodnieniu procedury.</w:t>
      </w:r>
    </w:p>
    <w:p w14:paraId="2C5011E2" w14:textId="77777777" w:rsidR="00E2152B" w:rsidRDefault="00E2152B" w:rsidP="00E2152B">
      <w:r>
        <w:rPr>
          <w:b/>
          <w:sz w:val="24"/>
        </w:rPr>
        <w:t>D. Marża i rozliczenia</w:t>
      </w:r>
    </w:p>
    <w:p w14:paraId="16CAD92E" w14:textId="77777777" w:rsidR="00E2152B" w:rsidRDefault="00E2152B" w:rsidP="00E2152B">
      <w:pPr>
        <w:pStyle w:val="Listapunktowana"/>
        <w:tabs>
          <w:tab w:val="num" w:pos="360"/>
        </w:tabs>
        <w:spacing w:after="200"/>
      </w:pPr>
      <w:r>
        <w:t>Definicja Marży Konsorcjum: Cena sprzedaży – (koszt pozyskania + fracht + port + logistyka lądowa + ubezpieczenia + koszty finansowania + koszty wspólne alokowane).</w:t>
      </w:r>
    </w:p>
    <w:p w14:paraId="7EFA7786" w14:textId="77777777" w:rsidR="00E2152B" w:rsidRDefault="00E2152B" w:rsidP="00E2152B">
      <w:pPr>
        <w:pStyle w:val="Listapunktowana"/>
        <w:tabs>
          <w:tab w:val="num" w:pos="360"/>
        </w:tabs>
        <w:spacing w:after="200"/>
      </w:pPr>
      <w:r>
        <w:t>Podział Marży: WGK [●]% / CE [●]% (do wpisania).</w:t>
      </w:r>
    </w:p>
    <w:p w14:paraId="69C84A43" w14:textId="77777777" w:rsidR="00E2152B" w:rsidRDefault="00E2152B" w:rsidP="00E2152B">
      <w:pPr>
        <w:pStyle w:val="Listapunktowana"/>
        <w:tabs>
          <w:tab w:val="num" w:pos="360"/>
        </w:tabs>
        <w:spacing w:after="200"/>
      </w:pPr>
      <w:r>
        <w:t>Rozliczenia miesięczne na podstawie zestawienia transakcji i kosztów (reconciliation).</w:t>
      </w:r>
    </w:p>
    <w:p w14:paraId="43D5CC79" w14:textId="77777777" w:rsidR="00E2152B" w:rsidRDefault="00E2152B" w:rsidP="00E2152B">
      <w:r>
        <w:rPr>
          <w:b/>
          <w:sz w:val="24"/>
        </w:rPr>
        <w:lastRenderedPageBreak/>
        <w:t>E. KPI (przykładowe)</w:t>
      </w:r>
    </w:p>
    <w:p w14:paraId="7C121984" w14:textId="77777777" w:rsidR="00E2152B" w:rsidRDefault="00E2152B" w:rsidP="00E2152B">
      <w:pPr>
        <w:pStyle w:val="Listapunktowana"/>
        <w:tabs>
          <w:tab w:val="num" w:pos="360"/>
        </w:tabs>
        <w:spacing w:after="200"/>
      </w:pPr>
      <w:r>
        <w:t>Minimalny wolumen zakontraktowany rocznie: [●] MT (do ustalenia).</w:t>
      </w:r>
    </w:p>
    <w:p w14:paraId="5D69DBCE" w14:textId="77777777" w:rsidR="00E2152B" w:rsidRDefault="00E2152B" w:rsidP="00E2152B">
      <w:pPr>
        <w:pStyle w:val="Listapunktowana"/>
        <w:tabs>
          <w:tab w:val="num" w:pos="360"/>
        </w:tabs>
        <w:spacing w:after="200"/>
      </w:pPr>
      <w:r>
        <w:t>Minimalny wolumen sprzedaży rocznie: [●] MT (do ustalenia).</w:t>
      </w:r>
    </w:p>
    <w:p w14:paraId="41225B9B" w14:textId="77777777" w:rsidR="00E2152B" w:rsidRDefault="00E2152B" w:rsidP="00E2152B">
      <w:pPr>
        <w:pStyle w:val="Listapunktowana"/>
        <w:tabs>
          <w:tab w:val="num" w:pos="360"/>
        </w:tabs>
        <w:spacing w:after="200"/>
      </w:pPr>
      <w:r>
        <w:t>Poziom zapasu bezpieczeństwa w Hubie: [●] MT / [●] tygodni pokrycia.</w:t>
      </w:r>
    </w:p>
    <w:p w14:paraId="38E6939F" w14:textId="0B83FDA8" w:rsidR="00E2152B" w:rsidRDefault="00E2152B" w:rsidP="00E2152B">
      <w:pPr>
        <w:pStyle w:val="Listapunktowana"/>
        <w:tabs>
          <w:tab w:val="num" w:pos="360"/>
        </w:tabs>
        <w:spacing w:after="200"/>
      </w:pPr>
      <w:r>
        <w:t>Terminowość dostaw (OTIF): [●]%.</w:t>
      </w:r>
    </w:p>
    <w:p w14:paraId="21582D4B" w14:textId="77777777" w:rsidR="00E2152B" w:rsidRDefault="00E2152B" w:rsidP="00E2152B">
      <w:pPr>
        <w:pStyle w:val="Listapunktowana"/>
        <w:numPr>
          <w:ilvl w:val="0"/>
          <w:numId w:val="0"/>
        </w:numPr>
        <w:spacing w:after="200"/>
        <w:ind w:left="360" w:hanging="360"/>
      </w:pPr>
    </w:p>
    <w:p w14:paraId="5D815243" w14:textId="77777777" w:rsidR="00E2152B" w:rsidRDefault="00E2152B" w:rsidP="00E2152B">
      <w:pPr>
        <w:pStyle w:val="Listapunktowana"/>
        <w:numPr>
          <w:ilvl w:val="0"/>
          <w:numId w:val="0"/>
        </w:numPr>
        <w:spacing w:after="200"/>
        <w:ind w:left="360" w:hanging="360"/>
      </w:pPr>
    </w:p>
    <w:p w14:paraId="00BA1FEB" w14:textId="77777777" w:rsidR="00E2152B" w:rsidRDefault="00E2152B" w:rsidP="00E2152B">
      <w:r>
        <w:rPr>
          <w:b/>
          <w:sz w:val="26"/>
        </w:rPr>
        <w:t>ZAŁĄCZNIK NR 2 – DRAFT UMOWY KONSORCJUM (PL) – outline long</w:t>
      </w:r>
      <w:r>
        <w:rPr>
          <w:rFonts w:ascii="Cambria Math" w:hAnsi="Cambria Math" w:cs="Cambria Math"/>
          <w:b/>
          <w:sz w:val="26"/>
        </w:rPr>
        <w:t>‑</w:t>
      </w:r>
      <w:r>
        <w:rPr>
          <w:b/>
          <w:sz w:val="26"/>
        </w:rPr>
        <w:t>form</w:t>
      </w:r>
    </w:p>
    <w:p w14:paraId="7F673616" w14:textId="77777777" w:rsidR="00E2152B" w:rsidRDefault="00E2152B" w:rsidP="00E2152B">
      <w:r>
        <w:t>Poniżej przedstawiono strukturę i kluczowe klauzule Umowy Konsorcjum do dalszego dopracowania w trybie „full long</w:t>
      </w:r>
      <w:r>
        <w:rPr>
          <w:rFonts w:ascii="Cambria Math" w:hAnsi="Cambria Math" w:cs="Cambria Math"/>
        </w:rPr>
        <w:t>‑</w:t>
      </w:r>
      <w:r>
        <w:t>form</w:t>
      </w:r>
      <w:r>
        <w:rPr>
          <w:rFonts w:cs="Calibri"/>
        </w:rPr>
        <w:t>”</w:t>
      </w:r>
      <w:r>
        <w:t>.</w:t>
      </w:r>
    </w:p>
    <w:p w14:paraId="3592E148" w14:textId="77777777" w:rsidR="00E2152B" w:rsidRDefault="00E2152B" w:rsidP="00E2152B">
      <w:pPr>
        <w:pStyle w:val="Listanumerowana"/>
        <w:tabs>
          <w:tab w:val="num" w:pos="360"/>
        </w:tabs>
        <w:ind w:left="360" w:hanging="360"/>
      </w:pPr>
      <w:r>
        <w:t>Definicje rozszerzone (w tym: Produkty, Partie, Certyfikaty, Dokumenty Zrównoważonego Rozwoju, Lead, Kontrakt z Odbiorcą, Kontrakt z Producentem, Koszty Wspólne, Marża, Sprawy Zastrzeżone, Siła Wyższa, Hardship).</w:t>
      </w:r>
    </w:p>
    <w:p w14:paraId="5ED94CC3" w14:textId="77777777" w:rsidR="00E2152B" w:rsidRDefault="00E2152B" w:rsidP="00E2152B">
      <w:pPr>
        <w:pStyle w:val="Listanumerowana"/>
        <w:tabs>
          <w:tab w:val="num" w:pos="360"/>
        </w:tabs>
        <w:ind w:left="360" w:hanging="360"/>
      </w:pPr>
      <w:r>
        <w:t>Utworzenie Konsorcjum, cele, zakres geograficzny i asortymentowy.</w:t>
      </w:r>
    </w:p>
    <w:p w14:paraId="5162CB3A" w14:textId="77777777" w:rsidR="00E2152B" w:rsidRDefault="00E2152B" w:rsidP="00E2152B">
      <w:pPr>
        <w:pStyle w:val="Listanumerowana"/>
        <w:tabs>
          <w:tab w:val="num" w:pos="360"/>
        </w:tabs>
        <w:ind w:left="360" w:hanging="360"/>
      </w:pPr>
      <w:r>
        <w:t>Zasady reprezentacji i zawierania umów (kto podpisuje: producent/odbiorca, pełnomocnictwa, limity).</w:t>
      </w:r>
    </w:p>
    <w:p w14:paraId="561B499C" w14:textId="77777777" w:rsidR="00E2152B" w:rsidRDefault="00E2152B" w:rsidP="00E2152B">
      <w:pPr>
        <w:pStyle w:val="Listanumerowana"/>
        <w:tabs>
          <w:tab w:val="num" w:pos="360"/>
        </w:tabs>
        <w:ind w:left="360" w:hanging="360"/>
      </w:pPr>
      <w:r>
        <w:t>Komitet Sterujący: skład, quorum, zasady głosowania, Sprawy Zastrzeżone.</w:t>
      </w:r>
    </w:p>
    <w:p w14:paraId="6FE3C1D5" w14:textId="77777777" w:rsidR="00E2152B" w:rsidRDefault="00E2152B" w:rsidP="00E2152B">
      <w:pPr>
        <w:pStyle w:val="Listanumerowana"/>
        <w:tabs>
          <w:tab w:val="num" w:pos="360"/>
        </w:tabs>
        <w:ind w:left="360" w:hanging="360"/>
      </w:pPr>
      <w:r>
        <w:t>PMO/operacje: role, SLA, KPI, procesy zatwierdzeń (zakupy, sprzedaż, logistyka).</w:t>
      </w:r>
    </w:p>
    <w:p w14:paraId="0F8FF242" w14:textId="77777777" w:rsidR="00E2152B" w:rsidRDefault="00E2152B" w:rsidP="00E2152B">
      <w:pPr>
        <w:pStyle w:val="Listanumerowana"/>
        <w:tabs>
          <w:tab w:val="num" w:pos="360"/>
        </w:tabs>
        <w:ind w:left="360" w:hanging="360"/>
      </w:pPr>
      <w:r>
        <w:t>Compliance i RED III: dossier, GHG, audyty, odpowiedzialność, sankcje kontraktowe.</w:t>
      </w:r>
    </w:p>
    <w:p w14:paraId="204D746B" w14:textId="77777777" w:rsidR="00E2152B" w:rsidRDefault="00E2152B" w:rsidP="00E2152B">
      <w:pPr>
        <w:pStyle w:val="Listanumerowana"/>
        <w:tabs>
          <w:tab w:val="num" w:pos="360"/>
        </w:tabs>
        <w:ind w:left="360" w:hanging="360"/>
      </w:pPr>
      <w:r>
        <w:t>Jakość: specyfikacje, inspekcje, próbki, procedury reklamacyjne, mechanizm korekt cenowych i kar.</w:t>
      </w:r>
    </w:p>
    <w:p w14:paraId="5677E750" w14:textId="77777777" w:rsidR="00E2152B" w:rsidRDefault="00E2152B" w:rsidP="00E2152B">
      <w:pPr>
        <w:pStyle w:val="Listanumerowana"/>
        <w:tabs>
          <w:tab w:val="num" w:pos="360"/>
        </w:tabs>
        <w:ind w:left="360" w:hanging="360"/>
      </w:pPr>
      <w:r>
        <w:t>Hub Biomasowy: zasady składowania, ubytki, BHP/ppoż., odpowiedzialność operatora, ubezpieczenia.</w:t>
      </w:r>
    </w:p>
    <w:p w14:paraId="50F1DBFA" w14:textId="77777777" w:rsidR="00E2152B" w:rsidRDefault="00E2152B" w:rsidP="00E2152B">
      <w:pPr>
        <w:pStyle w:val="Listanumerowana"/>
        <w:tabs>
          <w:tab w:val="num" w:pos="360"/>
        </w:tabs>
        <w:ind w:left="360" w:hanging="360"/>
      </w:pPr>
      <w:r>
        <w:t>Finansowanie i instrumenty bankowe: zasady, limity, koszty finansowania, FX hedging.</w:t>
      </w:r>
    </w:p>
    <w:p w14:paraId="6990DF95" w14:textId="77777777" w:rsidR="00E2152B" w:rsidRDefault="00E2152B" w:rsidP="00E2152B">
      <w:pPr>
        <w:pStyle w:val="Listanumerowana"/>
        <w:tabs>
          <w:tab w:val="num" w:pos="360"/>
        </w:tabs>
        <w:ind w:left="360" w:hanging="360"/>
      </w:pPr>
      <w:r>
        <w:t>Sprzedaż i warunki handlowe: pricing, indeksy, minimalne wolumeny, alokacje towaru.</w:t>
      </w:r>
    </w:p>
    <w:p w14:paraId="75DE4831" w14:textId="77777777" w:rsidR="00E2152B" w:rsidRDefault="00E2152B" w:rsidP="00E2152B">
      <w:pPr>
        <w:pStyle w:val="Listanumerowana"/>
        <w:tabs>
          <w:tab w:val="num" w:pos="360"/>
        </w:tabs>
        <w:ind w:left="360" w:hanging="360"/>
      </w:pPr>
      <w:r>
        <w:t>Pay</w:t>
      </w:r>
      <w:r>
        <w:rPr>
          <w:rFonts w:ascii="Cambria Math" w:hAnsi="Cambria Math" w:cs="Cambria Math"/>
        </w:rPr>
        <w:t>‑</w:t>
      </w:r>
      <w:r>
        <w:t>Before</w:t>
      </w:r>
      <w:r>
        <w:rPr>
          <w:rFonts w:ascii="Cambria Math" w:hAnsi="Cambria Math" w:cs="Cambria Math"/>
        </w:rPr>
        <w:t>‑</w:t>
      </w:r>
      <w:r>
        <w:t>Release: procedura wydania, dokumenty, blokady, odpowiedzialno</w:t>
      </w:r>
      <w:r>
        <w:rPr>
          <w:rFonts w:cs="Calibri"/>
        </w:rPr>
        <w:t>ść</w:t>
      </w:r>
      <w:r>
        <w:t>.</w:t>
      </w:r>
    </w:p>
    <w:p w14:paraId="6B8483AC" w14:textId="77777777" w:rsidR="00E2152B" w:rsidRDefault="00E2152B" w:rsidP="00E2152B">
      <w:pPr>
        <w:pStyle w:val="Listanumerowana"/>
        <w:tabs>
          <w:tab w:val="num" w:pos="360"/>
        </w:tabs>
        <w:ind w:left="360" w:hanging="360"/>
      </w:pPr>
      <w:r>
        <w:t>Rozliczenia wewnętrzne i podział marży: waterfall, koszty wspólne, reconciliation, audyt rozliczeń.</w:t>
      </w:r>
    </w:p>
    <w:p w14:paraId="55BC51B2" w14:textId="77777777" w:rsidR="00E2152B" w:rsidRDefault="00E2152B" w:rsidP="00E2152B">
      <w:pPr>
        <w:pStyle w:val="Listanumerowana"/>
        <w:tabs>
          <w:tab w:val="num" w:pos="360"/>
        </w:tabs>
        <w:ind w:left="360" w:hanging="360"/>
      </w:pPr>
      <w:r>
        <w:t>Non</w:t>
      </w:r>
      <w:r>
        <w:rPr>
          <w:rFonts w:ascii="Cambria Math" w:hAnsi="Cambria Math" w:cs="Cambria Math"/>
        </w:rPr>
        <w:t>‑</w:t>
      </w:r>
      <w:r>
        <w:t>circumvention: rejestr lead</w:t>
      </w:r>
      <w:r>
        <w:rPr>
          <w:rFonts w:cs="Calibri"/>
        </w:rPr>
        <w:t>ó</w:t>
      </w:r>
      <w:r>
        <w:t>w, okres ochrony, kary umowne i odszkodowania.</w:t>
      </w:r>
    </w:p>
    <w:p w14:paraId="34970F61" w14:textId="77777777" w:rsidR="00E2152B" w:rsidRDefault="00E2152B" w:rsidP="00E2152B">
      <w:pPr>
        <w:pStyle w:val="Listanumerowana"/>
        <w:tabs>
          <w:tab w:val="num" w:pos="360"/>
        </w:tabs>
        <w:ind w:left="360" w:hanging="360"/>
      </w:pPr>
      <w:r>
        <w:t>IP/Brand: znaki towarowe, licencje, platforma, dane i cyberbezpieczeństwo.</w:t>
      </w:r>
    </w:p>
    <w:p w14:paraId="2235BD6E" w14:textId="77777777" w:rsidR="00E2152B" w:rsidRDefault="00E2152B" w:rsidP="00E2152B">
      <w:pPr>
        <w:pStyle w:val="Listanumerowana"/>
        <w:tabs>
          <w:tab w:val="num" w:pos="360"/>
        </w:tabs>
        <w:ind w:left="360" w:hanging="360"/>
      </w:pPr>
      <w:r>
        <w:t>Odpowiedzialność i limity: cap, wyłączenia, kary umowne (m.in. za naruszenie poufności, non</w:t>
      </w:r>
      <w:r>
        <w:rPr>
          <w:rFonts w:ascii="Cambria Math" w:hAnsi="Cambria Math" w:cs="Cambria Math"/>
        </w:rPr>
        <w:t>‑</w:t>
      </w:r>
      <w:r>
        <w:t>circumvention, compliance).</w:t>
      </w:r>
    </w:p>
    <w:p w14:paraId="02B0D97D" w14:textId="77777777" w:rsidR="00E2152B" w:rsidRDefault="00E2152B" w:rsidP="00E2152B">
      <w:pPr>
        <w:pStyle w:val="Listanumerowana"/>
        <w:tabs>
          <w:tab w:val="num" w:pos="360"/>
        </w:tabs>
        <w:ind w:left="360" w:hanging="360"/>
      </w:pPr>
      <w:r>
        <w:t>Siła wyższa i hardship: renegocjacja i rozwiązanie.</w:t>
      </w:r>
    </w:p>
    <w:p w14:paraId="5594508C" w14:textId="77777777" w:rsidR="00E2152B" w:rsidRDefault="00E2152B" w:rsidP="00E2152B">
      <w:pPr>
        <w:pStyle w:val="Listanumerowana"/>
        <w:tabs>
          <w:tab w:val="num" w:pos="360"/>
        </w:tabs>
        <w:ind w:left="360" w:hanging="360"/>
      </w:pPr>
      <w:r>
        <w:t>Czas trwania i rozwiązanie: wypowiedzenie, ważne powody, rozliczenie zapasu i kontraktów.</w:t>
      </w:r>
    </w:p>
    <w:p w14:paraId="35E2F749" w14:textId="77777777" w:rsidR="00E2152B" w:rsidRDefault="00E2152B" w:rsidP="00E2152B">
      <w:pPr>
        <w:pStyle w:val="Listanumerowana"/>
        <w:tabs>
          <w:tab w:val="num" w:pos="360"/>
        </w:tabs>
        <w:ind w:left="360" w:hanging="360"/>
      </w:pPr>
      <w:r>
        <w:lastRenderedPageBreak/>
        <w:t>Prawo właściwe i arbitraż ICC (Wiedeń, język angielski).</w:t>
      </w:r>
    </w:p>
    <w:p w14:paraId="5F356FA1" w14:textId="77777777" w:rsidR="00E2152B" w:rsidRDefault="00E2152B" w:rsidP="00E2152B">
      <w:pPr>
        <w:pStyle w:val="Listanumerowana"/>
        <w:tabs>
          <w:tab w:val="num" w:pos="360"/>
        </w:tabs>
        <w:ind w:left="360" w:hanging="360"/>
      </w:pPr>
      <w:r>
        <w:t>Postanowienia końcowe: cesja, podwykonawcy, integralność, notyfikacje, wersje językowe.</w:t>
      </w:r>
    </w:p>
    <w:p w14:paraId="2008519A" w14:textId="77777777" w:rsidR="00E2152B" w:rsidRDefault="00E2152B" w:rsidP="00E2152B">
      <w:pPr>
        <w:pStyle w:val="Listanumerowana"/>
        <w:numPr>
          <w:ilvl w:val="0"/>
          <w:numId w:val="0"/>
        </w:numPr>
        <w:ind w:left="360" w:hanging="360"/>
      </w:pPr>
    </w:p>
    <w:p w14:paraId="6A14D22C" w14:textId="77777777" w:rsidR="00E2152B" w:rsidRDefault="00E2152B" w:rsidP="00E2152B">
      <w:pPr>
        <w:pStyle w:val="Listanumerowana"/>
        <w:numPr>
          <w:ilvl w:val="0"/>
          <w:numId w:val="0"/>
        </w:numPr>
        <w:ind w:left="360" w:hanging="360"/>
      </w:pPr>
      <w:r>
        <w:rPr>
          <w:b/>
          <w:sz w:val="26"/>
        </w:rPr>
        <w:t>ZAŁĄCZNIK NR 3 – Prezentacja Carmex Expert</w:t>
      </w:r>
    </w:p>
    <w:p w14:paraId="7E31F8CC" w14:textId="77777777" w:rsidR="0052138B" w:rsidRPr="00E2152B" w:rsidRDefault="0052138B" w:rsidP="00E2152B"/>
    <w:sectPr w:rsidR="0052138B" w:rsidRPr="00E2152B" w:rsidSect="009D10F5">
      <w:headerReference w:type="default" r:id="rId7"/>
      <w:footerReference w:type="default" r:id="rId8"/>
      <w:pgSz w:w="11906" w:h="16838"/>
      <w:pgMar w:top="1417" w:right="1417" w:bottom="1417" w:left="1417" w:header="2948" w:footer="22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50DBF" w14:textId="77777777" w:rsidR="005F0CB9" w:rsidRDefault="005F0CB9" w:rsidP="00C32F1C">
      <w:pPr>
        <w:spacing w:after="0" w:line="240" w:lineRule="auto"/>
      </w:pPr>
      <w:r>
        <w:separator/>
      </w:r>
    </w:p>
  </w:endnote>
  <w:endnote w:type="continuationSeparator" w:id="0">
    <w:p w14:paraId="164FF871" w14:textId="77777777" w:rsidR="005F0CB9" w:rsidRDefault="005F0CB9" w:rsidP="00C32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5BA3D" w14:textId="77777777" w:rsidR="00166D7E" w:rsidRDefault="00166D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89487" w14:textId="77777777" w:rsidR="005F0CB9" w:rsidRDefault="005F0CB9" w:rsidP="00C32F1C">
      <w:pPr>
        <w:spacing w:after="0" w:line="240" w:lineRule="auto"/>
      </w:pPr>
      <w:r>
        <w:separator/>
      </w:r>
    </w:p>
  </w:footnote>
  <w:footnote w:type="continuationSeparator" w:id="0">
    <w:p w14:paraId="0C94E581" w14:textId="77777777" w:rsidR="005F0CB9" w:rsidRDefault="005F0CB9" w:rsidP="00C32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82FB9" w14:textId="4CC4933A" w:rsidR="00C32F1C" w:rsidRDefault="00C32F1C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C50EE50" wp14:editId="12BE8FFB">
          <wp:simplePos x="0" y="0"/>
          <wp:positionH relativeFrom="page">
            <wp:posOffset>14605</wp:posOffset>
          </wp:positionH>
          <wp:positionV relativeFrom="paragraph">
            <wp:posOffset>-1868170</wp:posOffset>
          </wp:positionV>
          <wp:extent cx="7545705" cy="10684288"/>
          <wp:effectExtent l="0" t="0" r="0" b="3175"/>
          <wp:wrapNone/>
          <wp:docPr id="34302724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8219214" name="Obraz 7482192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705" cy="106842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4600BAB4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A9025DF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E267E94"/>
    <w:multiLevelType w:val="hybridMultilevel"/>
    <w:tmpl w:val="91BA18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3287C"/>
    <w:multiLevelType w:val="hybridMultilevel"/>
    <w:tmpl w:val="AD621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D3538E"/>
    <w:multiLevelType w:val="multilevel"/>
    <w:tmpl w:val="8F74D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2624F5"/>
    <w:multiLevelType w:val="multilevel"/>
    <w:tmpl w:val="F07A2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196937">
    <w:abstractNumId w:val="6"/>
  </w:num>
  <w:num w:numId="2" w16cid:durableId="1370565635">
    <w:abstractNumId w:val="5"/>
  </w:num>
  <w:num w:numId="3" w16cid:durableId="910433515">
    <w:abstractNumId w:val="2"/>
  </w:num>
  <w:num w:numId="4" w16cid:durableId="30233098">
    <w:abstractNumId w:val="0"/>
  </w:num>
  <w:num w:numId="5" w16cid:durableId="1593928657">
    <w:abstractNumId w:val="1"/>
  </w:num>
  <w:num w:numId="6" w16cid:durableId="747263712">
    <w:abstractNumId w:val="3"/>
  </w:num>
  <w:num w:numId="7" w16cid:durableId="10180442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F1C"/>
    <w:rsid w:val="00135AF3"/>
    <w:rsid w:val="00166D7E"/>
    <w:rsid w:val="00171AA2"/>
    <w:rsid w:val="00264335"/>
    <w:rsid w:val="003B2E4C"/>
    <w:rsid w:val="00486115"/>
    <w:rsid w:val="00486549"/>
    <w:rsid w:val="0052138B"/>
    <w:rsid w:val="005F0CB9"/>
    <w:rsid w:val="00691735"/>
    <w:rsid w:val="006B4591"/>
    <w:rsid w:val="006E6B5A"/>
    <w:rsid w:val="0078694A"/>
    <w:rsid w:val="007C6ACD"/>
    <w:rsid w:val="00865F06"/>
    <w:rsid w:val="0095676B"/>
    <w:rsid w:val="00960F51"/>
    <w:rsid w:val="009D10F5"/>
    <w:rsid w:val="00BC503B"/>
    <w:rsid w:val="00C16BCF"/>
    <w:rsid w:val="00C32F1C"/>
    <w:rsid w:val="00C55B5B"/>
    <w:rsid w:val="00CA768E"/>
    <w:rsid w:val="00CD17DA"/>
    <w:rsid w:val="00E06798"/>
    <w:rsid w:val="00E2152B"/>
    <w:rsid w:val="00E40938"/>
    <w:rsid w:val="00F41A75"/>
    <w:rsid w:val="00F52EFA"/>
    <w:rsid w:val="00FF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8149F"/>
  <w15:chartTrackingRefBased/>
  <w15:docId w15:val="{12661103-D521-4DD5-A172-D63D720A3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0F5"/>
    <w:pPr>
      <w:spacing w:after="80" w:line="276" w:lineRule="auto"/>
    </w:pPr>
    <w:rPr>
      <w:rFonts w:ascii="Calibri" w:eastAsia="Calibri" w:hAnsi="Calibri"/>
      <w:kern w:val="0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2F1C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2F1C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32F1C"/>
    <w:pPr>
      <w:keepNext/>
      <w:keepLines/>
      <w:spacing w:before="16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32F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32F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32F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32F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32F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32F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32F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2F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32F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32F1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32F1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32F1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32F1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32F1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32F1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32F1C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32F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32F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32F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32F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32F1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32F1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32F1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32F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32F1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32F1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32F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2F1C"/>
  </w:style>
  <w:style w:type="paragraph" w:styleId="Stopka">
    <w:name w:val="footer"/>
    <w:basedOn w:val="Normalny"/>
    <w:link w:val="StopkaZnak"/>
    <w:uiPriority w:val="99"/>
    <w:unhideWhenUsed/>
    <w:rsid w:val="00C32F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2F1C"/>
  </w:style>
  <w:style w:type="table" w:styleId="Tabela-Siatka">
    <w:name w:val="Table Grid"/>
    <w:basedOn w:val="Standardowy"/>
    <w:uiPriority w:val="59"/>
    <w:rsid w:val="00E40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punktowana">
    <w:name w:val="List Bullet"/>
    <w:basedOn w:val="Normalny"/>
    <w:uiPriority w:val="99"/>
    <w:unhideWhenUsed/>
    <w:rsid w:val="009D10F5"/>
    <w:pPr>
      <w:numPr>
        <w:numId w:val="3"/>
      </w:numPr>
      <w:tabs>
        <w:tab w:val="clear" w:pos="360"/>
      </w:tabs>
      <w:contextualSpacing/>
    </w:pPr>
  </w:style>
  <w:style w:type="paragraph" w:styleId="Listapunktowana3">
    <w:name w:val="List Bullet 3"/>
    <w:basedOn w:val="Normalny"/>
    <w:uiPriority w:val="99"/>
    <w:unhideWhenUsed/>
    <w:rsid w:val="00E2152B"/>
    <w:pPr>
      <w:numPr>
        <w:numId w:val="4"/>
      </w:numPr>
      <w:tabs>
        <w:tab w:val="clear" w:pos="1080"/>
      </w:tabs>
      <w:spacing w:after="200"/>
      <w:ind w:left="0" w:firstLine="0"/>
      <w:contextualSpacing/>
    </w:pPr>
  </w:style>
  <w:style w:type="paragraph" w:styleId="Listanumerowana">
    <w:name w:val="List Number"/>
    <w:basedOn w:val="Normalny"/>
    <w:uiPriority w:val="99"/>
    <w:unhideWhenUsed/>
    <w:rsid w:val="00E2152B"/>
    <w:pPr>
      <w:numPr>
        <w:numId w:val="5"/>
      </w:numPr>
      <w:tabs>
        <w:tab w:val="clear" w:pos="360"/>
      </w:tabs>
      <w:spacing w:after="200"/>
      <w:ind w:left="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14</Pages>
  <Words>3328</Words>
  <Characters>19969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Brodowski</dc:creator>
  <cp:keywords/>
  <dc:description/>
  <cp:lastModifiedBy>Sebastian Brodowski</cp:lastModifiedBy>
  <cp:revision>5</cp:revision>
  <cp:lastPrinted>2026-01-22T08:26:00Z</cp:lastPrinted>
  <dcterms:created xsi:type="dcterms:W3CDTF">2026-01-22T08:17:00Z</dcterms:created>
  <dcterms:modified xsi:type="dcterms:W3CDTF">2026-01-22T14:08:00Z</dcterms:modified>
</cp:coreProperties>
</file>